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15206">
      <w:pPr>
        <w:spacing w:line="360" w:lineRule="auto"/>
        <w:jc w:val="center"/>
        <w:rPr>
          <w:rFonts w:cs="Arial" w:asciiTheme="minorEastAsia" w:hAnsiTheme="minorEastAsia" w:eastAsiaTheme="minorEastAsia"/>
          <w:sz w:val="36"/>
          <w:szCs w:val="21"/>
        </w:rPr>
      </w:pPr>
    </w:p>
    <w:p w14:paraId="0D204247">
      <w:pPr>
        <w:spacing w:line="360" w:lineRule="auto"/>
        <w:jc w:val="center"/>
        <w:rPr>
          <w:rFonts w:hint="eastAsia" w:asciiTheme="minorEastAsia" w:hAnsiTheme="minorEastAsia" w:eastAsiaTheme="minorEastAsia"/>
          <w:b/>
          <w:bCs/>
          <w:sz w:val="56"/>
          <w:szCs w:val="56"/>
          <w:lang w:eastAsia="zh-CN"/>
        </w:rPr>
      </w:pPr>
    </w:p>
    <w:p w14:paraId="4ECAC1C5">
      <w:pPr>
        <w:spacing w:line="360" w:lineRule="auto"/>
        <w:jc w:val="center"/>
        <w:rPr>
          <w:rFonts w:hint="eastAsia" w:asciiTheme="minorEastAsia" w:hAnsiTheme="minorEastAsia" w:eastAsiaTheme="minorEastAsia"/>
          <w:b/>
          <w:bCs/>
          <w:sz w:val="56"/>
          <w:szCs w:val="56"/>
          <w:lang w:eastAsia="zh-CN"/>
        </w:rPr>
      </w:pPr>
      <w:r>
        <w:rPr>
          <w:rFonts w:hint="eastAsia" w:asciiTheme="minorEastAsia" w:hAnsiTheme="minorEastAsia" w:eastAsiaTheme="minorEastAsia"/>
          <w:b/>
          <w:bCs/>
          <w:sz w:val="56"/>
          <w:szCs w:val="56"/>
          <w:lang w:eastAsia="zh-CN"/>
        </w:rPr>
        <w:t>深圳市科技创新战略研究中心（深圳虚拟大学园管理服务中心）</w:t>
      </w:r>
    </w:p>
    <w:p w14:paraId="1A3F520D">
      <w:pPr>
        <w:spacing w:line="360" w:lineRule="auto"/>
        <w:jc w:val="center"/>
        <w:rPr>
          <w:rFonts w:asciiTheme="minorEastAsia" w:hAnsiTheme="minorEastAsia" w:eastAsiaTheme="minorEastAsia"/>
          <w:b/>
          <w:bCs/>
          <w:sz w:val="72"/>
          <w:szCs w:val="72"/>
        </w:rPr>
      </w:pPr>
      <w:r>
        <w:rPr>
          <w:rFonts w:hint="eastAsia" w:asciiTheme="minorEastAsia" w:hAnsiTheme="minorEastAsia" w:eastAsiaTheme="minorEastAsia"/>
          <w:b/>
          <w:bCs/>
          <w:sz w:val="56"/>
          <w:szCs w:val="56"/>
          <w:lang w:eastAsia="zh-CN"/>
        </w:rPr>
        <w:t>社会采购代理机构遴选方案</w:t>
      </w:r>
    </w:p>
    <w:p w14:paraId="2A0CB1BE">
      <w:pPr>
        <w:spacing w:line="360" w:lineRule="auto"/>
        <w:jc w:val="center"/>
        <w:rPr>
          <w:rFonts w:hint="default" w:ascii="宋体" w:hAnsi="宋体" w:eastAsia="宋体" w:cs="宋体"/>
          <w:sz w:val="52"/>
          <w:szCs w:val="52"/>
          <w:lang w:val="en-US" w:eastAsia="zh-CN"/>
        </w:rPr>
      </w:pPr>
      <w:r>
        <w:rPr>
          <w:rFonts w:hint="eastAsia" w:ascii="宋体" w:hAnsi="宋体" w:cs="宋体"/>
          <w:sz w:val="52"/>
          <w:szCs w:val="52"/>
          <w:lang w:val="en-US" w:eastAsia="zh-CN"/>
        </w:rPr>
        <w:t>（2026-2027年度）</w:t>
      </w:r>
    </w:p>
    <w:p w14:paraId="2C8A674B">
      <w:pPr>
        <w:pStyle w:val="47"/>
        <w:numPr>
          <w:ilvl w:val="0"/>
          <w:numId w:val="0"/>
        </w:numPr>
      </w:pPr>
    </w:p>
    <w:p w14:paraId="650B9599">
      <w:pPr>
        <w:pStyle w:val="2"/>
        <w:rPr>
          <w:rFonts w:asciiTheme="minorEastAsia" w:hAnsiTheme="minorEastAsia" w:eastAsiaTheme="minorEastAsia"/>
          <w:sz w:val="36"/>
          <w:szCs w:val="21"/>
        </w:rPr>
      </w:pPr>
    </w:p>
    <w:p w14:paraId="3725206D"/>
    <w:p w14:paraId="6FEEBAA6">
      <w:pPr>
        <w:spacing w:line="360" w:lineRule="auto"/>
        <w:jc w:val="center"/>
        <w:rPr>
          <w:rFonts w:asciiTheme="minorEastAsia" w:hAnsiTheme="minorEastAsia" w:eastAsiaTheme="minorEastAsia"/>
          <w:b/>
          <w:bCs/>
          <w:sz w:val="52"/>
          <w:szCs w:val="32"/>
        </w:rPr>
      </w:pPr>
    </w:p>
    <w:p w14:paraId="36A6112F">
      <w:pPr>
        <w:pStyle w:val="2"/>
        <w:rPr>
          <w:rFonts w:asciiTheme="minorEastAsia" w:hAnsiTheme="minorEastAsia" w:eastAsiaTheme="minorEastAsia"/>
          <w:b/>
          <w:bCs/>
          <w:sz w:val="52"/>
          <w:szCs w:val="32"/>
        </w:rPr>
      </w:pPr>
    </w:p>
    <w:p w14:paraId="3DF0691E"/>
    <w:p w14:paraId="61E8087D">
      <w:pPr>
        <w:pStyle w:val="47"/>
        <w:numPr>
          <w:ilvl w:val="0"/>
          <w:numId w:val="0"/>
        </w:numPr>
        <w:rPr>
          <w:rFonts w:ascii="仿宋" w:hAnsi="仿宋" w:eastAsia="仿宋" w:cs="仿宋"/>
          <w:b/>
          <w:sz w:val="32"/>
          <w:szCs w:val="32"/>
        </w:rPr>
      </w:pPr>
    </w:p>
    <w:p w14:paraId="1F62C915">
      <w:pPr>
        <w:pStyle w:val="47"/>
        <w:numPr>
          <w:ilvl w:val="0"/>
          <w:numId w:val="0"/>
        </w:numPr>
        <w:ind w:firstLine="1285" w:firstLineChars="400"/>
        <w:rPr>
          <w:rFonts w:ascii="仿宋" w:hAnsi="仿宋" w:eastAsia="仿宋" w:cs="仿宋"/>
          <w:b/>
          <w:sz w:val="32"/>
          <w:szCs w:val="32"/>
        </w:rPr>
      </w:pPr>
    </w:p>
    <w:p w14:paraId="06E170BA">
      <w:pPr>
        <w:jc w:val="center"/>
        <w:rPr>
          <w:rFonts w:hint="eastAsia" w:ascii="仿宋" w:hAnsi="仿宋" w:eastAsia="仿宋" w:cs="仿宋"/>
          <w:b/>
          <w:sz w:val="32"/>
          <w:szCs w:val="32"/>
        </w:rPr>
      </w:pPr>
    </w:p>
    <w:p w14:paraId="5BB2C3FF">
      <w:pPr>
        <w:jc w:val="center"/>
        <w:rPr>
          <w:rFonts w:ascii="仿宋" w:hAnsi="仿宋" w:eastAsia="仿宋" w:cs="仿宋"/>
          <w:b/>
          <w:sz w:val="32"/>
          <w:szCs w:val="32"/>
        </w:rPr>
      </w:pPr>
      <w:r>
        <w:rPr>
          <w:rFonts w:hint="eastAsia" w:ascii="仿宋" w:hAnsi="仿宋" w:eastAsia="仿宋" w:cs="仿宋"/>
          <w:b/>
          <w:sz w:val="32"/>
          <w:szCs w:val="32"/>
        </w:rPr>
        <w:t xml:space="preserve"> </w:t>
      </w:r>
    </w:p>
    <w:p w14:paraId="34141717">
      <w:pPr>
        <w:jc w:val="center"/>
        <w:rPr>
          <w:rFonts w:ascii="仿宋" w:hAnsi="仿宋" w:eastAsia="仿宋" w:cs="仿宋"/>
          <w:b/>
          <w:sz w:val="32"/>
          <w:szCs w:val="32"/>
        </w:rPr>
      </w:pPr>
      <w:r>
        <w:rPr>
          <w:rFonts w:hint="eastAsia" w:ascii="仿宋" w:hAnsi="仿宋" w:eastAsia="仿宋" w:cs="仿宋"/>
          <w:b/>
          <w:sz w:val="32"/>
          <w:szCs w:val="32"/>
        </w:rPr>
        <w:t>项目名称：</w:t>
      </w:r>
      <w:r>
        <w:rPr>
          <w:rFonts w:hint="eastAsia" w:ascii="仿宋" w:hAnsi="仿宋" w:eastAsia="仿宋" w:cs="仿宋"/>
          <w:b/>
          <w:sz w:val="32"/>
          <w:szCs w:val="32"/>
          <w:lang w:eastAsia="zh-CN"/>
        </w:rPr>
        <w:t>深圳市科技创新战略研究中心（深圳虚拟大学园管理服务中心）</w:t>
      </w:r>
      <w:r>
        <w:rPr>
          <w:rFonts w:hint="eastAsia" w:ascii="仿宋" w:hAnsi="仿宋" w:eastAsia="仿宋" w:cs="仿宋"/>
          <w:b/>
          <w:sz w:val="32"/>
          <w:szCs w:val="32"/>
          <w:lang w:val="en-US" w:eastAsia="zh-CN"/>
        </w:rPr>
        <w:t>2026-2027年度</w:t>
      </w:r>
      <w:r>
        <w:rPr>
          <w:rFonts w:hint="eastAsia" w:ascii="仿宋" w:hAnsi="仿宋" w:eastAsia="仿宋" w:cs="仿宋"/>
          <w:b/>
          <w:sz w:val="32"/>
          <w:szCs w:val="32"/>
          <w:lang w:eastAsia="zh-CN"/>
        </w:rPr>
        <w:t>社会采购代理机构遴选项目</w:t>
      </w:r>
    </w:p>
    <w:p w14:paraId="1FF9B889">
      <w:pPr>
        <w:pStyle w:val="47"/>
        <w:numPr>
          <w:ilvl w:val="0"/>
          <w:numId w:val="0"/>
        </w:numPr>
        <w:ind w:left="840" w:leftChars="400"/>
        <w:rPr>
          <w:rFonts w:ascii="宋体" w:hAnsi="宋体" w:cs="宋体"/>
        </w:rPr>
      </w:pPr>
    </w:p>
    <w:p w14:paraId="54C86020">
      <w:pPr>
        <w:pStyle w:val="47"/>
        <w:numPr>
          <w:ilvl w:val="0"/>
          <w:numId w:val="0"/>
        </w:numPr>
        <w:ind w:left="840" w:leftChars="400"/>
        <w:rPr>
          <w:rFonts w:ascii="宋体" w:hAnsi="宋体" w:cs="宋体"/>
        </w:rPr>
      </w:pPr>
    </w:p>
    <w:p w14:paraId="673B089F">
      <w:pPr>
        <w:jc w:val="center"/>
        <w:outlineLvl w:val="0"/>
        <w:rPr>
          <w:rFonts w:ascii="黑体" w:hAnsi="黑体" w:eastAsia="黑体" w:cs="黑体"/>
          <w:bCs/>
          <w:sz w:val="74"/>
          <w:szCs w:val="74"/>
        </w:rPr>
      </w:pPr>
    </w:p>
    <w:sdt>
      <w:sdtPr>
        <w:rPr>
          <w:rFonts w:hint="eastAsia" w:asciiTheme="minorEastAsia" w:hAnsiTheme="minorEastAsia" w:eastAsiaTheme="minorEastAsia"/>
          <w:smallCaps/>
          <w:sz w:val="20"/>
          <w:szCs w:val="21"/>
          <w:lang w:val="zh-CN"/>
        </w:rPr>
        <w:id w:val="9670547"/>
        <w:docPartObj>
          <w:docPartGallery w:val="Table of Contents"/>
          <w:docPartUnique/>
        </w:docPartObj>
      </w:sdtPr>
      <w:sdtEndPr>
        <w:rPr>
          <w:rFonts w:hint="eastAsia" w:asciiTheme="minorEastAsia" w:hAnsiTheme="minorEastAsia" w:eastAsiaTheme="minorEastAsia"/>
          <w:smallCaps/>
          <w:sz w:val="20"/>
          <w:szCs w:val="21"/>
          <w:lang w:val="en-US"/>
        </w:rPr>
      </w:sdtEndPr>
      <w:sdtContent>
        <w:p w14:paraId="6DBFEA54">
          <w:pPr>
            <w:spacing w:before="0" w:beforeLines="0" w:after="0" w:afterLines="0" w:line="240" w:lineRule="auto"/>
            <w:ind w:left="0" w:leftChars="0" w:right="0" w:rightChars="0" w:firstLine="0" w:firstLineChars="0"/>
            <w:jc w:val="center"/>
          </w:pPr>
          <w:r>
            <w:rPr>
              <w:rFonts w:ascii="宋体" w:hAnsi="宋体" w:eastAsia="宋体"/>
              <w:sz w:val="21"/>
            </w:rPr>
            <w:t>目录</w:t>
          </w:r>
        </w:p>
        <w:p w14:paraId="73BEB7A3">
          <w:pPr>
            <w:pStyle w:val="32"/>
            <w:tabs>
              <w:tab w:val="right" w:leader="dot" w:pos="974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TOC \o "1-3" \h \z \u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_Toc509978863 </w:instrText>
          </w:r>
          <w:r>
            <w:rPr>
              <w:rFonts w:hint="eastAsia" w:asciiTheme="minorEastAsia" w:hAnsiTheme="minorEastAsia" w:eastAsiaTheme="minorEastAsia"/>
              <w:szCs w:val="21"/>
            </w:rPr>
            <w:fldChar w:fldCharType="separate"/>
          </w:r>
          <w:r>
            <w:rPr>
              <w:rFonts w:hint="eastAsia" w:cs="Arial" w:asciiTheme="minorEastAsia" w:hAnsiTheme="minorEastAsia" w:eastAsiaTheme="minorEastAsia"/>
              <w:bCs/>
              <w:smallCaps w:val="0"/>
              <w:szCs w:val="21"/>
            </w:rPr>
            <w:t>第一册  通用条款</w:t>
          </w:r>
          <w:r>
            <w:tab/>
          </w:r>
          <w:r>
            <w:fldChar w:fldCharType="begin"/>
          </w:r>
          <w:r>
            <w:instrText xml:space="preserve"> PAGEREF _Toc509978863 \h </w:instrText>
          </w:r>
          <w:r>
            <w:fldChar w:fldCharType="separate"/>
          </w:r>
          <w:r>
            <w:t>3</w:t>
          </w:r>
          <w:r>
            <w:fldChar w:fldCharType="end"/>
          </w:r>
          <w:r>
            <w:rPr>
              <w:rFonts w:hint="eastAsia" w:asciiTheme="minorEastAsia" w:hAnsiTheme="minorEastAsia" w:eastAsiaTheme="minorEastAsia"/>
              <w:szCs w:val="21"/>
            </w:rPr>
            <w:fldChar w:fldCharType="end"/>
          </w:r>
        </w:p>
        <w:p w14:paraId="4F9D0BEF">
          <w:pPr>
            <w:pStyle w:val="39"/>
            <w:tabs>
              <w:tab w:val="right" w:leader="dot" w:pos="974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_Toc1195132351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第一章 总则</w:t>
          </w:r>
          <w:r>
            <w:tab/>
          </w:r>
          <w:r>
            <w:fldChar w:fldCharType="begin"/>
          </w:r>
          <w:r>
            <w:instrText xml:space="preserve"> PAGEREF _Toc1195132351 \h </w:instrText>
          </w:r>
          <w:r>
            <w:fldChar w:fldCharType="separate"/>
          </w:r>
          <w:r>
            <w:t>3</w:t>
          </w:r>
          <w:r>
            <w:fldChar w:fldCharType="end"/>
          </w:r>
          <w:r>
            <w:rPr>
              <w:rFonts w:hint="eastAsia" w:asciiTheme="minorEastAsia" w:hAnsiTheme="minorEastAsia" w:eastAsiaTheme="minorEastAsia"/>
              <w:szCs w:val="21"/>
            </w:rPr>
            <w:fldChar w:fldCharType="end"/>
          </w:r>
        </w:p>
        <w:p w14:paraId="65DE9F6D">
          <w:pPr>
            <w:pStyle w:val="39"/>
            <w:tabs>
              <w:tab w:val="right" w:leader="dot" w:pos="974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_Toc155506583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第二章  招标文件</w:t>
          </w:r>
          <w:r>
            <w:tab/>
          </w:r>
          <w:r>
            <w:fldChar w:fldCharType="begin"/>
          </w:r>
          <w:r>
            <w:instrText xml:space="preserve"> PAGEREF _Toc155506583 \h </w:instrText>
          </w:r>
          <w:r>
            <w:fldChar w:fldCharType="separate"/>
          </w:r>
          <w:r>
            <w:t>5</w:t>
          </w:r>
          <w:r>
            <w:fldChar w:fldCharType="end"/>
          </w:r>
          <w:r>
            <w:rPr>
              <w:rFonts w:hint="eastAsia" w:asciiTheme="minorEastAsia" w:hAnsiTheme="minorEastAsia" w:eastAsiaTheme="minorEastAsia"/>
              <w:szCs w:val="21"/>
            </w:rPr>
            <w:fldChar w:fldCharType="end"/>
          </w:r>
        </w:p>
        <w:p w14:paraId="7568228D">
          <w:pPr>
            <w:pStyle w:val="39"/>
            <w:tabs>
              <w:tab w:val="right" w:leader="dot" w:pos="974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_Toc564398845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第三章  投标文件的编制</w:t>
          </w:r>
          <w:r>
            <w:tab/>
          </w:r>
          <w:r>
            <w:fldChar w:fldCharType="begin"/>
          </w:r>
          <w:r>
            <w:instrText xml:space="preserve"> PAGEREF _Toc564398845 \h </w:instrText>
          </w:r>
          <w:r>
            <w:fldChar w:fldCharType="separate"/>
          </w:r>
          <w:r>
            <w:t>7</w:t>
          </w:r>
          <w:r>
            <w:fldChar w:fldCharType="end"/>
          </w:r>
          <w:r>
            <w:rPr>
              <w:rFonts w:hint="eastAsia" w:asciiTheme="minorEastAsia" w:hAnsiTheme="minorEastAsia" w:eastAsiaTheme="minorEastAsia"/>
              <w:szCs w:val="21"/>
            </w:rPr>
            <w:fldChar w:fldCharType="end"/>
          </w:r>
        </w:p>
        <w:p w14:paraId="4C703245">
          <w:pPr>
            <w:pStyle w:val="39"/>
            <w:tabs>
              <w:tab w:val="right" w:leader="dot" w:pos="974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_Toc1311005989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第四章  投标文件的递交</w:t>
          </w:r>
          <w:r>
            <w:tab/>
          </w:r>
          <w:r>
            <w:fldChar w:fldCharType="begin"/>
          </w:r>
          <w:r>
            <w:instrText xml:space="preserve"> PAGEREF _Toc1311005989 \h </w:instrText>
          </w:r>
          <w:r>
            <w:fldChar w:fldCharType="separate"/>
          </w:r>
          <w:r>
            <w:t>9</w:t>
          </w:r>
          <w:r>
            <w:fldChar w:fldCharType="end"/>
          </w:r>
          <w:r>
            <w:rPr>
              <w:rFonts w:hint="eastAsia" w:asciiTheme="minorEastAsia" w:hAnsiTheme="minorEastAsia" w:eastAsiaTheme="minorEastAsia"/>
              <w:szCs w:val="21"/>
            </w:rPr>
            <w:fldChar w:fldCharType="end"/>
          </w:r>
        </w:p>
        <w:p w14:paraId="74BBE6DC">
          <w:pPr>
            <w:pStyle w:val="39"/>
            <w:tabs>
              <w:tab w:val="right" w:leader="dot" w:pos="974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_Toc663555618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第五章  开标</w:t>
          </w:r>
          <w:r>
            <w:tab/>
          </w:r>
          <w:r>
            <w:fldChar w:fldCharType="begin"/>
          </w:r>
          <w:r>
            <w:instrText xml:space="preserve"> PAGEREF _Toc663555618 \h </w:instrText>
          </w:r>
          <w:r>
            <w:fldChar w:fldCharType="separate"/>
          </w:r>
          <w:r>
            <w:t>10</w:t>
          </w:r>
          <w:r>
            <w:fldChar w:fldCharType="end"/>
          </w:r>
          <w:r>
            <w:rPr>
              <w:rFonts w:hint="eastAsia" w:asciiTheme="minorEastAsia" w:hAnsiTheme="minorEastAsia" w:eastAsiaTheme="minorEastAsia"/>
              <w:szCs w:val="21"/>
            </w:rPr>
            <w:fldChar w:fldCharType="end"/>
          </w:r>
        </w:p>
        <w:p w14:paraId="4FC13729">
          <w:pPr>
            <w:pStyle w:val="39"/>
            <w:tabs>
              <w:tab w:val="right" w:leader="dot" w:pos="974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_Toc330952918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第六章  评标</w:t>
          </w:r>
          <w:r>
            <w:tab/>
          </w:r>
          <w:r>
            <w:fldChar w:fldCharType="begin"/>
          </w:r>
          <w:r>
            <w:instrText xml:space="preserve"> PAGEREF _Toc330952918 \h </w:instrText>
          </w:r>
          <w:r>
            <w:fldChar w:fldCharType="separate"/>
          </w:r>
          <w:r>
            <w:t>11</w:t>
          </w:r>
          <w:r>
            <w:fldChar w:fldCharType="end"/>
          </w:r>
          <w:r>
            <w:rPr>
              <w:rFonts w:hint="eastAsia" w:asciiTheme="minorEastAsia" w:hAnsiTheme="minorEastAsia" w:eastAsiaTheme="minorEastAsia"/>
              <w:szCs w:val="21"/>
            </w:rPr>
            <w:fldChar w:fldCharType="end"/>
          </w:r>
        </w:p>
        <w:p w14:paraId="1C419EEC">
          <w:pPr>
            <w:pStyle w:val="39"/>
            <w:tabs>
              <w:tab w:val="right" w:leader="dot" w:pos="974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_Toc984672176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第七章  评审程序及评标方法</w:t>
          </w:r>
          <w:r>
            <w:tab/>
          </w:r>
          <w:r>
            <w:fldChar w:fldCharType="begin"/>
          </w:r>
          <w:r>
            <w:instrText xml:space="preserve"> PAGEREF _Toc984672176 \h </w:instrText>
          </w:r>
          <w:r>
            <w:fldChar w:fldCharType="separate"/>
          </w:r>
          <w:r>
            <w:t>12</w:t>
          </w:r>
          <w:r>
            <w:fldChar w:fldCharType="end"/>
          </w:r>
          <w:r>
            <w:rPr>
              <w:rFonts w:hint="eastAsia" w:asciiTheme="minorEastAsia" w:hAnsiTheme="minorEastAsia" w:eastAsiaTheme="minorEastAsia"/>
              <w:szCs w:val="21"/>
            </w:rPr>
            <w:fldChar w:fldCharType="end"/>
          </w:r>
        </w:p>
        <w:p w14:paraId="1A952A26">
          <w:pPr>
            <w:pStyle w:val="32"/>
            <w:tabs>
              <w:tab w:val="right" w:leader="dot" w:pos="974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_Toc1252615711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第二册  专用条款</w:t>
          </w:r>
          <w:r>
            <w:tab/>
          </w:r>
          <w:r>
            <w:fldChar w:fldCharType="begin"/>
          </w:r>
          <w:r>
            <w:instrText xml:space="preserve"> PAGEREF _Toc1252615711 \h </w:instrText>
          </w:r>
          <w:r>
            <w:fldChar w:fldCharType="separate"/>
          </w:r>
          <w:r>
            <w:t>14</w:t>
          </w:r>
          <w:r>
            <w:fldChar w:fldCharType="end"/>
          </w:r>
          <w:r>
            <w:rPr>
              <w:rFonts w:hint="eastAsia" w:asciiTheme="minorEastAsia" w:hAnsiTheme="minorEastAsia" w:eastAsiaTheme="minorEastAsia"/>
              <w:szCs w:val="21"/>
            </w:rPr>
            <w:fldChar w:fldCharType="end"/>
          </w:r>
        </w:p>
        <w:p w14:paraId="79B9CA71">
          <w:pPr>
            <w:pStyle w:val="39"/>
            <w:tabs>
              <w:tab w:val="right" w:leader="dot" w:pos="974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_Toc1905352448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第一章  招标公告</w:t>
          </w:r>
          <w:r>
            <w:tab/>
          </w:r>
          <w:r>
            <w:fldChar w:fldCharType="begin"/>
          </w:r>
          <w:r>
            <w:instrText xml:space="preserve"> PAGEREF _Toc1905352448 \h </w:instrText>
          </w:r>
          <w:r>
            <w:fldChar w:fldCharType="separate"/>
          </w:r>
          <w:r>
            <w:t>14</w:t>
          </w:r>
          <w:r>
            <w:fldChar w:fldCharType="end"/>
          </w:r>
          <w:r>
            <w:rPr>
              <w:rFonts w:hint="eastAsia" w:asciiTheme="minorEastAsia" w:hAnsiTheme="minorEastAsia" w:eastAsiaTheme="minorEastAsia"/>
              <w:szCs w:val="21"/>
            </w:rPr>
            <w:fldChar w:fldCharType="end"/>
          </w:r>
        </w:p>
        <w:p w14:paraId="26084F6D">
          <w:pPr>
            <w:pStyle w:val="39"/>
            <w:tabs>
              <w:tab w:val="right" w:leader="dot" w:pos="974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_Toc2124011742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第二章  关键信息</w:t>
          </w:r>
          <w:r>
            <w:tab/>
          </w:r>
          <w:r>
            <w:fldChar w:fldCharType="begin"/>
          </w:r>
          <w:r>
            <w:instrText xml:space="preserve"> PAGEREF _Toc2124011742 \h </w:instrText>
          </w:r>
          <w:r>
            <w:fldChar w:fldCharType="separate"/>
          </w:r>
          <w:r>
            <w:t>16</w:t>
          </w:r>
          <w:r>
            <w:fldChar w:fldCharType="end"/>
          </w:r>
          <w:r>
            <w:rPr>
              <w:rFonts w:hint="eastAsia" w:asciiTheme="minorEastAsia" w:hAnsiTheme="minorEastAsia" w:eastAsiaTheme="minorEastAsia"/>
              <w:szCs w:val="21"/>
            </w:rPr>
            <w:fldChar w:fldCharType="end"/>
          </w:r>
        </w:p>
        <w:p w14:paraId="17FD0472">
          <w:pPr>
            <w:pStyle w:val="24"/>
            <w:tabs>
              <w:tab w:val="right" w:leader="dot" w:pos="9746"/>
              <w:tab w:val="clear" w:pos="973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_Toc1953756187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表一、投标须知前附表</w:t>
          </w:r>
          <w:r>
            <w:tab/>
          </w:r>
          <w:r>
            <w:fldChar w:fldCharType="begin"/>
          </w:r>
          <w:r>
            <w:instrText xml:space="preserve"> PAGEREF _Toc1953756187 \h </w:instrText>
          </w:r>
          <w:r>
            <w:fldChar w:fldCharType="separate"/>
          </w:r>
          <w:r>
            <w:t>16</w:t>
          </w:r>
          <w:r>
            <w:fldChar w:fldCharType="end"/>
          </w:r>
          <w:r>
            <w:rPr>
              <w:rFonts w:hint="eastAsia" w:asciiTheme="minorEastAsia" w:hAnsiTheme="minorEastAsia" w:eastAsiaTheme="minorEastAsia"/>
              <w:szCs w:val="21"/>
            </w:rPr>
            <w:fldChar w:fldCharType="end"/>
          </w:r>
        </w:p>
        <w:p w14:paraId="7A7652A9">
          <w:pPr>
            <w:pStyle w:val="24"/>
            <w:tabs>
              <w:tab w:val="right" w:leader="dot" w:pos="9746"/>
              <w:tab w:val="clear" w:pos="973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_Toc949190793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表二、投标文件初审表</w:t>
          </w:r>
          <w:r>
            <w:tab/>
          </w:r>
          <w:r>
            <w:fldChar w:fldCharType="begin"/>
          </w:r>
          <w:r>
            <w:instrText xml:space="preserve"> PAGEREF _Toc949190793 \h </w:instrText>
          </w:r>
          <w:r>
            <w:fldChar w:fldCharType="separate"/>
          </w:r>
          <w:r>
            <w:t>18</w:t>
          </w:r>
          <w:r>
            <w:fldChar w:fldCharType="end"/>
          </w:r>
          <w:r>
            <w:rPr>
              <w:rFonts w:hint="eastAsia" w:asciiTheme="minorEastAsia" w:hAnsiTheme="minorEastAsia" w:eastAsiaTheme="minorEastAsia"/>
              <w:szCs w:val="21"/>
            </w:rPr>
            <w:fldChar w:fldCharType="end"/>
          </w:r>
        </w:p>
        <w:p w14:paraId="1357F30A">
          <w:pPr>
            <w:pStyle w:val="24"/>
            <w:tabs>
              <w:tab w:val="right" w:leader="dot" w:pos="9746"/>
              <w:tab w:val="clear" w:pos="973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_Toc133164234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表三、评标信息</w:t>
          </w:r>
          <w:r>
            <w:tab/>
          </w:r>
          <w:r>
            <w:fldChar w:fldCharType="begin"/>
          </w:r>
          <w:r>
            <w:instrText xml:space="preserve"> PAGEREF _Toc133164234 \h </w:instrText>
          </w:r>
          <w:r>
            <w:fldChar w:fldCharType="separate"/>
          </w:r>
          <w:r>
            <w:t>19</w:t>
          </w:r>
          <w:r>
            <w:fldChar w:fldCharType="end"/>
          </w:r>
          <w:r>
            <w:rPr>
              <w:rFonts w:hint="eastAsia" w:asciiTheme="minorEastAsia" w:hAnsiTheme="minorEastAsia" w:eastAsiaTheme="minorEastAsia"/>
              <w:szCs w:val="21"/>
            </w:rPr>
            <w:fldChar w:fldCharType="end"/>
          </w:r>
        </w:p>
        <w:p w14:paraId="0F77ABFE">
          <w:pPr>
            <w:pStyle w:val="39"/>
            <w:tabs>
              <w:tab w:val="right" w:leader="dot" w:pos="974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_Toc871885930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第三章  招标项目需求</w:t>
          </w:r>
          <w:r>
            <w:tab/>
          </w:r>
          <w:r>
            <w:fldChar w:fldCharType="begin"/>
          </w:r>
          <w:r>
            <w:instrText xml:space="preserve"> PAGEREF _Toc871885930 \h </w:instrText>
          </w:r>
          <w:r>
            <w:fldChar w:fldCharType="separate"/>
          </w:r>
          <w:r>
            <w:t>21</w:t>
          </w:r>
          <w:r>
            <w:fldChar w:fldCharType="end"/>
          </w:r>
          <w:r>
            <w:rPr>
              <w:rFonts w:hint="eastAsia" w:asciiTheme="minorEastAsia" w:hAnsiTheme="minorEastAsia" w:eastAsiaTheme="minorEastAsia"/>
              <w:szCs w:val="21"/>
            </w:rPr>
            <w:fldChar w:fldCharType="end"/>
          </w:r>
        </w:p>
        <w:p w14:paraId="6244847B">
          <w:pPr>
            <w:pStyle w:val="39"/>
            <w:tabs>
              <w:tab w:val="right" w:leader="dot" w:pos="974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_Toc1827005994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第四章  相关格式</w:t>
          </w:r>
          <w:r>
            <w:tab/>
          </w:r>
          <w:r>
            <w:fldChar w:fldCharType="begin"/>
          </w:r>
          <w:r>
            <w:instrText xml:space="preserve"> PAGEREF _Toc1827005994 \h </w:instrText>
          </w:r>
          <w:r>
            <w:fldChar w:fldCharType="separate"/>
          </w:r>
          <w:r>
            <w:t>23</w:t>
          </w:r>
          <w:r>
            <w:fldChar w:fldCharType="end"/>
          </w:r>
          <w:r>
            <w:rPr>
              <w:rFonts w:hint="eastAsia" w:asciiTheme="minorEastAsia" w:hAnsiTheme="minorEastAsia" w:eastAsiaTheme="minorEastAsia"/>
              <w:szCs w:val="21"/>
            </w:rPr>
            <w:fldChar w:fldCharType="end"/>
          </w:r>
        </w:p>
        <w:p w14:paraId="22E1D6B1">
          <w:pPr>
            <w:pStyle w:val="39"/>
            <w:tabs>
              <w:tab w:val="right" w:leader="dot" w:pos="974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_Toc1708142142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bCs/>
              <w:szCs w:val="21"/>
            </w:rPr>
            <w:t>一、合同条款及格式</w:t>
          </w:r>
          <w:r>
            <w:tab/>
          </w:r>
          <w:r>
            <w:fldChar w:fldCharType="begin"/>
          </w:r>
          <w:r>
            <w:instrText xml:space="preserve"> PAGEREF _Toc1708142142 \h </w:instrText>
          </w:r>
          <w:r>
            <w:fldChar w:fldCharType="separate"/>
          </w:r>
          <w:r>
            <w:t>23</w:t>
          </w:r>
          <w:r>
            <w:fldChar w:fldCharType="end"/>
          </w:r>
          <w:r>
            <w:rPr>
              <w:rFonts w:hint="eastAsia" w:asciiTheme="minorEastAsia" w:hAnsiTheme="minorEastAsia" w:eastAsiaTheme="minorEastAsia"/>
              <w:szCs w:val="21"/>
            </w:rPr>
            <w:fldChar w:fldCharType="end"/>
          </w:r>
        </w:p>
        <w:p w14:paraId="69993E0B">
          <w:pPr>
            <w:pStyle w:val="39"/>
            <w:tabs>
              <w:tab w:val="right" w:leader="dot" w:pos="9746"/>
            </w:tabs>
          </w:pP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\l _Toc1680204728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bCs/>
              <w:szCs w:val="21"/>
            </w:rPr>
            <w:t>二、投标文件参考格式</w:t>
          </w:r>
          <w:r>
            <w:tab/>
          </w:r>
          <w:r>
            <w:fldChar w:fldCharType="begin"/>
          </w:r>
          <w:r>
            <w:instrText xml:space="preserve"> PAGEREF _Toc1680204728 \h </w:instrText>
          </w:r>
          <w:r>
            <w:fldChar w:fldCharType="separate"/>
          </w:r>
          <w:r>
            <w:t>33</w:t>
          </w:r>
          <w:r>
            <w:fldChar w:fldCharType="end"/>
          </w:r>
          <w:r>
            <w:rPr>
              <w:rFonts w:hint="eastAsia" w:asciiTheme="minorEastAsia" w:hAnsiTheme="minorEastAsia" w:eastAsiaTheme="minorEastAsia"/>
              <w:szCs w:val="21"/>
            </w:rPr>
            <w:fldChar w:fldCharType="end"/>
          </w:r>
        </w:p>
        <w:p w14:paraId="1F5F11FE">
          <w:pPr>
            <w:pStyle w:val="24"/>
            <w:tabs>
              <w:tab w:val="right" w:leader="dot" w:pos="9746"/>
              <w:tab w:val="clear" w:pos="9736"/>
            </w:tabs>
          </w:pPr>
        </w:p>
        <w:p w14:paraId="1A4C05D2">
          <w:pPr>
            <w:tabs>
              <w:tab w:val="right" w:leader="dot" w:pos="9736"/>
            </w:tabs>
            <w:ind w:left="0"/>
            <w:jc w:val="center"/>
            <w:outlineLvl w:val="0"/>
            <w:rPr>
              <w:rFonts w:asciiTheme="minorEastAsia" w:hAnsiTheme="minorEastAsia" w:eastAsiaTheme="minorEastAsia"/>
              <w:sz w:val="21"/>
              <w:szCs w:val="21"/>
            </w:rPr>
          </w:pPr>
          <w:r>
            <w:rPr>
              <w:rFonts w:hint="eastAsia" w:asciiTheme="minorEastAsia" w:hAnsiTheme="minorEastAsia" w:eastAsiaTheme="minorEastAsia"/>
              <w:szCs w:val="21"/>
            </w:rPr>
            <w:fldChar w:fldCharType="end"/>
          </w:r>
        </w:p>
      </w:sdtContent>
    </w:sdt>
    <w:p w14:paraId="3B031CA6">
      <w:pPr>
        <w:pStyle w:val="39"/>
        <w:tabs>
          <w:tab w:val="right" w:leader="dot" w:pos="9736"/>
        </w:tabs>
        <w:ind w:left="0"/>
        <w:jc w:val="center"/>
        <w:outlineLvl w:val="0"/>
        <w:rPr>
          <w:rFonts w:hint="eastAsia" w:cs="Arial" w:asciiTheme="minorEastAsia" w:hAnsiTheme="minorEastAsia" w:eastAsiaTheme="minorEastAsia"/>
          <w:b/>
          <w:bCs/>
          <w:smallCaps w:val="0"/>
          <w:sz w:val="32"/>
          <w:szCs w:val="21"/>
        </w:rPr>
      </w:pPr>
    </w:p>
    <w:p w14:paraId="662A45C3">
      <w:pPr>
        <w:pStyle w:val="39"/>
        <w:tabs>
          <w:tab w:val="right" w:leader="dot" w:pos="9736"/>
        </w:tabs>
        <w:ind w:left="0"/>
        <w:jc w:val="center"/>
        <w:outlineLvl w:val="0"/>
        <w:rPr>
          <w:rFonts w:hint="eastAsia" w:cs="Arial" w:asciiTheme="minorEastAsia" w:hAnsiTheme="minorEastAsia" w:eastAsiaTheme="minorEastAsia"/>
          <w:b/>
          <w:bCs/>
          <w:smallCaps w:val="0"/>
          <w:sz w:val="32"/>
          <w:szCs w:val="21"/>
        </w:rPr>
      </w:pPr>
    </w:p>
    <w:p w14:paraId="266A1DA3">
      <w:pPr>
        <w:pStyle w:val="39"/>
        <w:tabs>
          <w:tab w:val="right" w:leader="dot" w:pos="9736"/>
        </w:tabs>
        <w:ind w:left="0"/>
        <w:jc w:val="center"/>
        <w:outlineLvl w:val="0"/>
        <w:rPr>
          <w:rFonts w:hint="eastAsia" w:cs="Arial" w:asciiTheme="minorEastAsia" w:hAnsiTheme="minorEastAsia" w:eastAsiaTheme="minorEastAsia"/>
          <w:b/>
          <w:bCs/>
          <w:smallCaps w:val="0"/>
          <w:sz w:val="32"/>
          <w:szCs w:val="21"/>
        </w:rPr>
      </w:pPr>
      <w:bookmarkStart w:id="0" w:name="_Toc509978863"/>
    </w:p>
    <w:p w14:paraId="727BBE47">
      <w:pPr>
        <w:pStyle w:val="39"/>
        <w:tabs>
          <w:tab w:val="right" w:leader="dot" w:pos="9736"/>
        </w:tabs>
        <w:ind w:left="0"/>
        <w:jc w:val="center"/>
        <w:outlineLvl w:val="0"/>
        <w:rPr>
          <w:rFonts w:hint="eastAsia" w:cs="Arial" w:asciiTheme="minorEastAsia" w:hAnsiTheme="minorEastAsia" w:eastAsiaTheme="minorEastAsia"/>
          <w:b/>
          <w:bCs/>
          <w:smallCaps w:val="0"/>
          <w:sz w:val="32"/>
          <w:szCs w:val="21"/>
        </w:rPr>
      </w:pPr>
    </w:p>
    <w:p w14:paraId="0D5B1AA8">
      <w:pPr>
        <w:pStyle w:val="39"/>
        <w:tabs>
          <w:tab w:val="right" w:leader="dot" w:pos="9736"/>
        </w:tabs>
        <w:ind w:left="0"/>
        <w:jc w:val="center"/>
        <w:outlineLvl w:val="0"/>
        <w:rPr>
          <w:rFonts w:hint="eastAsia" w:cs="Arial" w:asciiTheme="minorEastAsia" w:hAnsiTheme="minorEastAsia" w:eastAsiaTheme="minorEastAsia"/>
          <w:b/>
          <w:bCs/>
          <w:smallCaps w:val="0"/>
          <w:sz w:val="32"/>
          <w:szCs w:val="21"/>
        </w:rPr>
      </w:pPr>
    </w:p>
    <w:p w14:paraId="31007548">
      <w:pPr>
        <w:pStyle w:val="39"/>
        <w:tabs>
          <w:tab w:val="right" w:leader="dot" w:pos="9736"/>
        </w:tabs>
        <w:ind w:left="0"/>
        <w:jc w:val="center"/>
        <w:outlineLvl w:val="0"/>
        <w:rPr>
          <w:rFonts w:hint="eastAsia" w:cs="Arial" w:asciiTheme="minorEastAsia" w:hAnsiTheme="minorEastAsia" w:eastAsiaTheme="minorEastAsia"/>
          <w:b/>
          <w:bCs/>
          <w:smallCaps w:val="0"/>
          <w:sz w:val="32"/>
          <w:szCs w:val="21"/>
        </w:rPr>
      </w:pPr>
    </w:p>
    <w:p w14:paraId="04E5826E">
      <w:pPr>
        <w:pStyle w:val="39"/>
        <w:tabs>
          <w:tab w:val="right" w:leader="dot" w:pos="9736"/>
        </w:tabs>
        <w:ind w:left="0"/>
        <w:jc w:val="center"/>
        <w:outlineLvl w:val="0"/>
        <w:rPr>
          <w:rFonts w:hint="eastAsia" w:cs="Arial" w:asciiTheme="minorEastAsia" w:hAnsiTheme="minorEastAsia" w:eastAsiaTheme="minorEastAsia"/>
          <w:b/>
          <w:bCs/>
          <w:smallCaps w:val="0"/>
          <w:sz w:val="32"/>
          <w:szCs w:val="21"/>
        </w:rPr>
      </w:pPr>
    </w:p>
    <w:p w14:paraId="73FB408C">
      <w:pPr>
        <w:pStyle w:val="39"/>
        <w:tabs>
          <w:tab w:val="right" w:leader="dot" w:pos="9736"/>
        </w:tabs>
        <w:ind w:left="0"/>
        <w:jc w:val="center"/>
        <w:outlineLvl w:val="0"/>
        <w:rPr>
          <w:rFonts w:hint="eastAsia" w:cs="Arial" w:asciiTheme="minorEastAsia" w:hAnsiTheme="minorEastAsia" w:eastAsiaTheme="minorEastAsia"/>
          <w:b/>
          <w:bCs/>
          <w:smallCaps w:val="0"/>
          <w:sz w:val="32"/>
          <w:szCs w:val="21"/>
        </w:rPr>
      </w:pPr>
    </w:p>
    <w:p w14:paraId="499C386D">
      <w:pPr>
        <w:pStyle w:val="39"/>
        <w:tabs>
          <w:tab w:val="right" w:leader="dot" w:pos="9736"/>
        </w:tabs>
        <w:ind w:left="0"/>
        <w:jc w:val="center"/>
        <w:outlineLvl w:val="0"/>
        <w:rPr>
          <w:rFonts w:hint="eastAsia" w:cs="Arial" w:asciiTheme="minorEastAsia" w:hAnsiTheme="minorEastAsia" w:eastAsiaTheme="minorEastAsia"/>
          <w:b/>
          <w:bCs/>
          <w:smallCaps w:val="0"/>
          <w:sz w:val="32"/>
          <w:szCs w:val="21"/>
        </w:rPr>
      </w:pPr>
    </w:p>
    <w:p w14:paraId="78A5FE1D">
      <w:pPr>
        <w:pStyle w:val="39"/>
        <w:tabs>
          <w:tab w:val="right" w:leader="dot" w:pos="9736"/>
        </w:tabs>
        <w:ind w:left="0"/>
        <w:jc w:val="center"/>
        <w:outlineLvl w:val="0"/>
        <w:rPr>
          <w:rFonts w:hint="eastAsia" w:cs="Arial" w:asciiTheme="minorEastAsia" w:hAnsiTheme="minorEastAsia" w:eastAsiaTheme="minorEastAsia"/>
          <w:b/>
          <w:bCs/>
          <w:smallCaps w:val="0"/>
          <w:sz w:val="32"/>
          <w:szCs w:val="21"/>
        </w:rPr>
      </w:pPr>
    </w:p>
    <w:p w14:paraId="600F7C29">
      <w:pPr>
        <w:pStyle w:val="39"/>
        <w:tabs>
          <w:tab w:val="right" w:leader="dot" w:pos="9736"/>
        </w:tabs>
        <w:ind w:left="0"/>
        <w:jc w:val="center"/>
        <w:outlineLvl w:val="0"/>
        <w:rPr>
          <w:rFonts w:hint="eastAsia" w:cs="Arial" w:asciiTheme="minorEastAsia" w:hAnsiTheme="minorEastAsia" w:eastAsiaTheme="minorEastAsia"/>
          <w:b/>
          <w:bCs/>
          <w:smallCaps w:val="0"/>
          <w:sz w:val="32"/>
          <w:szCs w:val="21"/>
        </w:rPr>
      </w:pPr>
    </w:p>
    <w:p w14:paraId="4B3B44E0">
      <w:pPr>
        <w:pStyle w:val="39"/>
        <w:tabs>
          <w:tab w:val="right" w:leader="dot" w:pos="9736"/>
        </w:tabs>
        <w:ind w:left="0"/>
        <w:jc w:val="center"/>
        <w:outlineLvl w:val="0"/>
        <w:rPr>
          <w:rFonts w:cs="Arial" w:asciiTheme="minorEastAsia" w:hAnsiTheme="minorEastAsia" w:eastAsiaTheme="minorEastAsia"/>
          <w:b/>
          <w:bCs/>
          <w:smallCaps w:val="0"/>
          <w:sz w:val="32"/>
          <w:szCs w:val="21"/>
        </w:rPr>
      </w:pPr>
      <w:r>
        <w:rPr>
          <w:rFonts w:hint="eastAsia" w:cs="Arial" w:asciiTheme="minorEastAsia" w:hAnsiTheme="minorEastAsia" w:eastAsiaTheme="minorEastAsia"/>
          <w:b/>
          <w:bCs/>
          <w:smallCaps w:val="0"/>
          <w:sz w:val="32"/>
          <w:szCs w:val="21"/>
        </w:rPr>
        <w:t>第一册  通用条款</w:t>
      </w:r>
      <w:bookmarkEnd w:id="0"/>
      <w:bookmarkStart w:id="1" w:name="bt工程概况"/>
      <w:bookmarkEnd w:id="1"/>
    </w:p>
    <w:p w14:paraId="3669823B">
      <w:pPr>
        <w:pStyle w:val="3"/>
        <w:spacing w:line="360" w:lineRule="auto"/>
        <w:jc w:val="center"/>
        <w:rPr>
          <w:rFonts w:asciiTheme="minorEastAsia" w:hAnsiTheme="minorEastAsia" w:eastAsiaTheme="minorEastAsia"/>
          <w:sz w:val="21"/>
          <w:szCs w:val="21"/>
        </w:rPr>
      </w:pPr>
      <w:bookmarkStart w:id="2" w:name="_Toc1195132351"/>
      <w:r>
        <w:rPr>
          <w:rFonts w:hint="eastAsia" w:asciiTheme="minorEastAsia" w:hAnsiTheme="minorEastAsia" w:eastAsiaTheme="minorEastAsia"/>
          <w:sz w:val="21"/>
          <w:szCs w:val="21"/>
        </w:rPr>
        <w:t>第一章 总则</w:t>
      </w:r>
      <w:bookmarkEnd w:id="2"/>
    </w:p>
    <w:p w14:paraId="40F46EE4">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3" w:name="_Toc73517641"/>
      <w:bookmarkStart w:id="4" w:name="_Toc100052366"/>
      <w:bookmarkStart w:id="5" w:name="_Toc60560627"/>
      <w:bookmarkStart w:id="6" w:name="_Toc73518119"/>
      <w:bookmarkStart w:id="7" w:name="_Toc60631622"/>
      <w:bookmarkStart w:id="8" w:name="_Toc73521637"/>
      <w:bookmarkStart w:id="9" w:name="_Toc73521549"/>
      <w:r>
        <w:rPr>
          <w:rFonts w:hint="eastAsia" w:asciiTheme="minorEastAsia" w:hAnsiTheme="minorEastAsia" w:eastAsiaTheme="minorEastAsia"/>
          <w:b/>
          <w:szCs w:val="21"/>
        </w:rPr>
        <w:t>招标说明</w:t>
      </w:r>
      <w:bookmarkEnd w:id="3"/>
      <w:bookmarkEnd w:id="4"/>
      <w:bookmarkEnd w:id="5"/>
      <w:bookmarkEnd w:id="6"/>
      <w:bookmarkEnd w:id="7"/>
      <w:bookmarkEnd w:id="8"/>
      <w:bookmarkEnd w:id="9"/>
    </w:p>
    <w:p w14:paraId="7703A640">
      <w:pPr>
        <w:snapToGrid w:val="0"/>
        <w:spacing w:line="360" w:lineRule="auto"/>
        <w:ind w:firstLine="411" w:firstLineChars="196"/>
        <w:rPr>
          <w:rFonts w:asciiTheme="minorEastAsia" w:hAnsiTheme="minorEastAsia" w:eastAsiaTheme="minorEastAsia"/>
          <w:szCs w:val="21"/>
        </w:rPr>
      </w:pPr>
      <w:r>
        <w:rPr>
          <w:rFonts w:hint="eastAsia" w:asciiTheme="minorEastAsia" w:hAnsiTheme="minorEastAsia" w:eastAsiaTheme="minorEastAsia"/>
          <w:szCs w:val="21"/>
        </w:rPr>
        <w:t>本项目参照</w:t>
      </w:r>
      <w:r>
        <w:rPr>
          <w:rFonts w:hint="eastAsia" w:cs="宋体" w:asciiTheme="minorEastAsia" w:hAnsiTheme="minorEastAsia" w:eastAsiaTheme="minorEastAsia"/>
          <w:kern w:val="0"/>
          <w:szCs w:val="21"/>
        </w:rPr>
        <w:t>《深圳经济特区政府采购条例》和《深圳经济特区政府采购条例实施细则》</w:t>
      </w:r>
      <w:r>
        <w:rPr>
          <w:rFonts w:hint="eastAsia" w:asciiTheme="minorEastAsia" w:hAnsiTheme="minorEastAsia" w:eastAsiaTheme="minorEastAsia"/>
          <w:szCs w:val="21"/>
        </w:rPr>
        <w:t>的规定，并参考有关法规、政策、规章、规定，通过公开招标择优选定供应商。</w:t>
      </w:r>
    </w:p>
    <w:p w14:paraId="0417E297">
      <w:pPr>
        <w:snapToGrid w:val="0"/>
        <w:spacing w:line="360" w:lineRule="auto"/>
        <w:ind w:firstLine="411" w:firstLineChars="196"/>
        <w:rPr>
          <w:rFonts w:asciiTheme="minorEastAsia" w:hAnsiTheme="minorEastAsia" w:eastAsiaTheme="minorEastAsia"/>
          <w:szCs w:val="21"/>
        </w:rPr>
      </w:pPr>
      <w:r>
        <w:rPr>
          <w:rFonts w:hint="eastAsia" w:asciiTheme="minorEastAsia" w:hAnsiTheme="minorEastAsia" w:eastAsiaTheme="minorEastAsia"/>
          <w:szCs w:val="21"/>
        </w:rPr>
        <w:t>本招标文件适用于服务采购项目。</w:t>
      </w:r>
    </w:p>
    <w:p w14:paraId="67E8A204">
      <w:pPr>
        <w:snapToGrid w:val="0"/>
        <w:spacing w:line="360" w:lineRule="auto"/>
        <w:ind w:firstLine="411" w:firstLineChars="196"/>
        <w:rPr>
          <w:rFonts w:asciiTheme="minorEastAsia" w:hAnsiTheme="minorEastAsia" w:eastAsiaTheme="minorEastAsia"/>
          <w:szCs w:val="21"/>
        </w:rPr>
      </w:pPr>
      <w:r>
        <w:rPr>
          <w:rFonts w:hint="eastAsia" w:asciiTheme="minorEastAsia" w:hAnsiTheme="minorEastAsia" w:eastAsiaTheme="minorEastAsia"/>
          <w:szCs w:val="21"/>
        </w:rPr>
        <w:t>本招标文件的解释权归属</w:t>
      </w:r>
      <w:r>
        <w:rPr>
          <w:rFonts w:hint="eastAsia" w:asciiTheme="minorEastAsia" w:hAnsiTheme="minorEastAsia" w:eastAsiaTheme="minorEastAsia"/>
          <w:szCs w:val="21"/>
          <w:lang w:val="en-US" w:eastAsia="zh-CN"/>
        </w:rPr>
        <w:t>深圳市科技创新战略研究中心（深圳虚拟大学园管理服务中心）</w:t>
      </w:r>
      <w:r>
        <w:rPr>
          <w:rFonts w:hint="eastAsia" w:asciiTheme="minorEastAsia" w:hAnsiTheme="minorEastAsia" w:eastAsiaTheme="minorEastAsia"/>
          <w:szCs w:val="21"/>
        </w:rPr>
        <w:t>。</w:t>
      </w:r>
    </w:p>
    <w:p w14:paraId="149CC299">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10" w:name="_Toc73518120"/>
      <w:bookmarkStart w:id="11" w:name="_Toc73521550"/>
      <w:bookmarkStart w:id="12" w:name="_Toc60560628"/>
      <w:bookmarkStart w:id="13" w:name="_Toc60631623"/>
      <w:bookmarkStart w:id="14" w:name="_Toc100052367"/>
      <w:bookmarkStart w:id="15" w:name="_Toc73521638"/>
      <w:bookmarkStart w:id="16" w:name="_Toc73517642"/>
      <w:r>
        <w:rPr>
          <w:rFonts w:hint="eastAsia" w:asciiTheme="minorEastAsia" w:hAnsiTheme="minorEastAsia" w:eastAsiaTheme="minorEastAsia"/>
          <w:b/>
          <w:szCs w:val="21"/>
        </w:rPr>
        <w:t>定义</w:t>
      </w:r>
      <w:bookmarkEnd w:id="10"/>
      <w:bookmarkEnd w:id="11"/>
      <w:bookmarkEnd w:id="12"/>
      <w:bookmarkEnd w:id="13"/>
      <w:bookmarkEnd w:id="14"/>
      <w:bookmarkEnd w:id="15"/>
      <w:bookmarkEnd w:id="16"/>
    </w:p>
    <w:p w14:paraId="7F7DEDD7">
      <w:pPr>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招标文件中下列术语应解释为：</w:t>
      </w:r>
    </w:p>
    <w:p w14:paraId="33DED871">
      <w:pPr>
        <w:pStyle w:val="88"/>
        <w:numPr>
          <w:ilvl w:val="1"/>
          <w:numId w:val="6"/>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“采购人”、“采购单位”：系指利用财政性资金依法进行政府采购的国家机关、事业单位、团体组织。</w:t>
      </w:r>
    </w:p>
    <w:p w14:paraId="33DA243D">
      <w:pPr>
        <w:pStyle w:val="88"/>
        <w:numPr>
          <w:ilvl w:val="1"/>
          <w:numId w:val="6"/>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“投标人”、“投标方”，即供应商，是指愿意按照招标文件要求向采购人提供货物、工程或者服务的法人、其他组织或者自然人。</w:t>
      </w:r>
    </w:p>
    <w:p w14:paraId="0F38FD5E">
      <w:pPr>
        <w:pStyle w:val="88"/>
        <w:numPr>
          <w:ilvl w:val="1"/>
          <w:numId w:val="6"/>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eastAsia="zh-CN"/>
        </w:rPr>
        <w:t>中心招标小组</w:t>
      </w:r>
      <w:r>
        <w:rPr>
          <w:rFonts w:hint="eastAsia" w:asciiTheme="minorEastAsia" w:hAnsiTheme="minorEastAsia" w:eastAsiaTheme="minorEastAsia"/>
          <w:szCs w:val="21"/>
        </w:rPr>
        <w:t>”是采购人为本项目组建的专门负责本项目评标工作的</w:t>
      </w:r>
      <w:r>
        <w:rPr>
          <w:rFonts w:hint="eastAsia" w:asciiTheme="minorEastAsia" w:hAnsiTheme="minorEastAsia" w:eastAsiaTheme="minorEastAsia"/>
          <w:szCs w:val="21"/>
          <w:lang w:eastAsia="zh-CN"/>
        </w:rPr>
        <w:t>小组</w:t>
      </w:r>
      <w:r>
        <w:rPr>
          <w:rFonts w:hint="eastAsia" w:asciiTheme="minorEastAsia" w:hAnsiTheme="minorEastAsia" w:eastAsiaTheme="minorEastAsia"/>
          <w:szCs w:val="21"/>
        </w:rPr>
        <w:t>。</w:t>
      </w:r>
    </w:p>
    <w:p w14:paraId="4B7BF8CE">
      <w:pPr>
        <w:pStyle w:val="88"/>
        <w:numPr>
          <w:ilvl w:val="1"/>
          <w:numId w:val="6"/>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“日期”指公历日。</w:t>
      </w:r>
    </w:p>
    <w:p w14:paraId="2EF9C7BB">
      <w:pPr>
        <w:pStyle w:val="88"/>
        <w:numPr>
          <w:ilvl w:val="1"/>
          <w:numId w:val="6"/>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“合同”指由本次招标所产生的合同或合约文件。</w:t>
      </w:r>
    </w:p>
    <w:p w14:paraId="3A5A5249">
      <w:pPr>
        <w:pStyle w:val="88"/>
        <w:numPr>
          <w:ilvl w:val="1"/>
          <w:numId w:val="6"/>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“纸质投标文件”指根据本招标文件模板的要求规范填写，打印输出并盖有投标单位公章的投标文件。</w:t>
      </w:r>
    </w:p>
    <w:p w14:paraId="323938A0">
      <w:pPr>
        <w:pStyle w:val="88"/>
        <w:numPr>
          <w:ilvl w:val="1"/>
          <w:numId w:val="6"/>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“现场投标”指在规定时间内直接向采购人提交纸质投标文件。</w:t>
      </w:r>
    </w:p>
    <w:p w14:paraId="67227EE1">
      <w:pPr>
        <w:pStyle w:val="88"/>
        <w:numPr>
          <w:ilvl w:val="1"/>
          <w:numId w:val="6"/>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 xml:space="preserve"> 招标文件中的标题或题名仅起引导作用，而不应视为对招标文件内容的理解和解释。</w:t>
      </w:r>
    </w:p>
    <w:p w14:paraId="12EAA09A">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17" w:name="_Toc60631624"/>
      <w:bookmarkStart w:id="18" w:name="_Toc60560629"/>
      <w:bookmarkStart w:id="19" w:name="_Toc73517643"/>
      <w:bookmarkStart w:id="20" w:name="_Toc73521639"/>
      <w:bookmarkStart w:id="21" w:name="_Toc73518121"/>
      <w:bookmarkStart w:id="22" w:name="_Toc100052368"/>
      <w:bookmarkStart w:id="23" w:name="_Toc73521551"/>
      <w:r>
        <w:rPr>
          <w:rFonts w:hint="eastAsia" w:asciiTheme="minorEastAsia" w:hAnsiTheme="minorEastAsia" w:eastAsiaTheme="minorEastAsia"/>
          <w:b/>
          <w:szCs w:val="21"/>
        </w:rPr>
        <w:t>投标人的资质要求</w:t>
      </w:r>
      <w:bookmarkEnd w:id="17"/>
      <w:bookmarkEnd w:id="18"/>
      <w:bookmarkEnd w:id="19"/>
      <w:bookmarkEnd w:id="20"/>
      <w:bookmarkEnd w:id="21"/>
      <w:bookmarkEnd w:id="22"/>
      <w:bookmarkEnd w:id="23"/>
    </w:p>
    <w:p w14:paraId="23B1AD34">
      <w:pPr>
        <w:snapToGrid w:val="0"/>
        <w:spacing w:line="360" w:lineRule="auto"/>
        <w:ind w:firstLine="411" w:firstLineChars="196"/>
        <w:rPr>
          <w:rFonts w:asciiTheme="minorEastAsia" w:hAnsiTheme="minorEastAsia" w:eastAsiaTheme="minorEastAsia"/>
          <w:szCs w:val="21"/>
        </w:rPr>
      </w:pPr>
      <w:r>
        <w:rPr>
          <w:rFonts w:hint="eastAsia" w:asciiTheme="minorEastAsia" w:hAnsiTheme="minorEastAsia" w:eastAsiaTheme="minorEastAsia"/>
          <w:szCs w:val="21"/>
        </w:rPr>
        <w:t>参加本项目的投标人应具备的资格条件详见本项目招标公告中 “投标人的资格要求”内容。</w:t>
      </w:r>
    </w:p>
    <w:p w14:paraId="19E1B282">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r>
        <w:rPr>
          <w:rFonts w:hint="eastAsia" w:asciiTheme="minorEastAsia" w:hAnsiTheme="minorEastAsia" w:eastAsiaTheme="minorEastAsia"/>
          <w:b/>
          <w:szCs w:val="21"/>
        </w:rPr>
        <w:t>政府采购供应商责任</w:t>
      </w:r>
    </w:p>
    <w:p w14:paraId="3FBE5E0A">
      <w:pPr>
        <w:pStyle w:val="88"/>
        <w:numPr>
          <w:ilvl w:val="1"/>
          <w:numId w:val="8"/>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欢迎诚信、有实力和有社会责任心的供应商参与政府采购事业。</w:t>
      </w:r>
    </w:p>
    <w:p w14:paraId="7620EA55">
      <w:pPr>
        <w:pStyle w:val="88"/>
        <w:numPr>
          <w:ilvl w:val="1"/>
          <w:numId w:val="8"/>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供应商在政府采购项目投标过程中应诚实守信，不弄虚作假，不隐瞒真实情况，不围标串标，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14:paraId="5EB9E15A">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24" w:name="_Toc73517645"/>
      <w:bookmarkStart w:id="25" w:name="_Toc73518123"/>
      <w:bookmarkStart w:id="26" w:name="_Toc100052370"/>
      <w:bookmarkStart w:id="27" w:name="_Toc73521553"/>
      <w:bookmarkStart w:id="28" w:name="_Toc60560631"/>
      <w:bookmarkStart w:id="29" w:name="_Toc73521641"/>
      <w:bookmarkStart w:id="30" w:name="_Toc60631626"/>
      <w:r>
        <w:rPr>
          <w:rFonts w:hint="eastAsia" w:asciiTheme="minorEastAsia" w:hAnsiTheme="minorEastAsia" w:eastAsiaTheme="minorEastAsia"/>
          <w:b/>
          <w:szCs w:val="21"/>
        </w:rPr>
        <w:t>不接受联合体投标</w:t>
      </w:r>
    </w:p>
    <w:bookmarkEnd w:id="24"/>
    <w:bookmarkEnd w:id="25"/>
    <w:bookmarkEnd w:id="26"/>
    <w:bookmarkEnd w:id="27"/>
    <w:bookmarkEnd w:id="28"/>
    <w:bookmarkEnd w:id="29"/>
    <w:bookmarkEnd w:id="30"/>
    <w:p w14:paraId="37D867FE">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31" w:name="_Toc60560632"/>
      <w:bookmarkStart w:id="32" w:name="_Toc73518124"/>
      <w:bookmarkStart w:id="33" w:name="_Toc100052371"/>
      <w:bookmarkStart w:id="34" w:name="_Toc60631627"/>
      <w:bookmarkStart w:id="35" w:name="_Toc73521554"/>
      <w:bookmarkStart w:id="36" w:name="_Toc73521642"/>
      <w:bookmarkStart w:id="37" w:name="_Toc73517646"/>
      <w:r>
        <w:rPr>
          <w:rFonts w:hint="eastAsia" w:asciiTheme="minorEastAsia" w:hAnsiTheme="minorEastAsia" w:eastAsiaTheme="minorEastAsia"/>
          <w:b/>
          <w:szCs w:val="21"/>
          <w:lang w:eastAsia="zh-CN"/>
        </w:rPr>
        <w:t>不统一组织</w:t>
      </w:r>
      <w:r>
        <w:rPr>
          <w:rFonts w:hint="eastAsia" w:asciiTheme="minorEastAsia" w:hAnsiTheme="minorEastAsia" w:eastAsiaTheme="minorEastAsia"/>
          <w:b/>
          <w:szCs w:val="21"/>
        </w:rPr>
        <w:t>现场踏勘</w:t>
      </w:r>
      <w:bookmarkEnd w:id="31"/>
      <w:bookmarkEnd w:id="32"/>
      <w:bookmarkEnd w:id="33"/>
      <w:bookmarkEnd w:id="34"/>
      <w:bookmarkEnd w:id="35"/>
      <w:bookmarkEnd w:id="36"/>
      <w:bookmarkEnd w:id="37"/>
    </w:p>
    <w:p w14:paraId="41D646E1">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38" w:name="_Toc78260681"/>
      <w:bookmarkStart w:id="39" w:name="_Toc100052372"/>
      <w:r>
        <w:rPr>
          <w:rFonts w:hint="eastAsia" w:asciiTheme="minorEastAsia" w:hAnsiTheme="minorEastAsia" w:eastAsiaTheme="minorEastAsia"/>
          <w:b/>
          <w:szCs w:val="21"/>
        </w:rPr>
        <w:t>招标</w:t>
      </w:r>
      <w:bookmarkEnd w:id="38"/>
      <w:r>
        <w:rPr>
          <w:rFonts w:hint="eastAsia" w:asciiTheme="minorEastAsia" w:hAnsiTheme="minorEastAsia" w:eastAsiaTheme="minorEastAsia"/>
          <w:b/>
          <w:szCs w:val="21"/>
        </w:rPr>
        <w:t>答疑</w:t>
      </w:r>
      <w:bookmarkEnd w:id="39"/>
    </w:p>
    <w:p w14:paraId="327DC0CD">
      <w:pPr>
        <w:snapToGrid w:val="0"/>
        <w:spacing w:line="360" w:lineRule="auto"/>
        <w:ind w:firstLine="411" w:firstLineChars="196"/>
        <w:rPr>
          <w:rFonts w:hint="eastAsia" w:asciiTheme="minorEastAsia" w:hAnsiTheme="minorEastAsia" w:eastAsiaTheme="minorEastAsia"/>
          <w:szCs w:val="21"/>
        </w:rPr>
      </w:pPr>
      <w:bookmarkStart w:id="40" w:name="bt招标文件"/>
      <w:bookmarkEnd w:id="40"/>
      <w:bookmarkStart w:id="41" w:name="_Toc101074878"/>
      <w:bookmarkStart w:id="42" w:name="_Toc73518126"/>
      <w:bookmarkStart w:id="43" w:name="_Toc73521556"/>
      <w:bookmarkStart w:id="44" w:name="_Toc73517648"/>
      <w:bookmarkStart w:id="45" w:name="_Toc73521644"/>
      <w:bookmarkStart w:id="46" w:name="_Toc100052373"/>
      <w:r>
        <w:rPr>
          <w:rFonts w:hint="eastAsia" w:asciiTheme="minorEastAsia" w:hAnsiTheme="minorEastAsia" w:eastAsiaTheme="minorEastAsia"/>
          <w:szCs w:val="21"/>
        </w:rPr>
        <w:t>任何要求对招标文件进行澄清或者对招标文件有限制性、倾向性条款提出质疑的投标人，均应于“招标公告”中所述答疑截止时间前在书面通知采购人。采购人对规定时间内收到的对招标文件的澄清或者质疑，视情况予以答复。具体答疑方式请见本招标文件第二册第一章之规定。</w:t>
      </w:r>
    </w:p>
    <w:p w14:paraId="020CC066">
      <w:r>
        <w:rPr>
          <w:rFonts w:hint="eastAsia" w:asciiTheme="minorEastAsia" w:hAnsiTheme="minorEastAsia" w:eastAsiaTheme="minorEastAsia"/>
          <w:szCs w:val="21"/>
        </w:rPr>
        <w:br w:type="page"/>
      </w:r>
    </w:p>
    <w:p w14:paraId="3930FD0C">
      <w:pPr>
        <w:pStyle w:val="3"/>
        <w:spacing w:line="360" w:lineRule="auto"/>
        <w:jc w:val="center"/>
        <w:rPr>
          <w:rFonts w:asciiTheme="minorEastAsia" w:hAnsiTheme="minorEastAsia" w:eastAsiaTheme="minorEastAsia"/>
          <w:sz w:val="21"/>
          <w:szCs w:val="21"/>
        </w:rPr>
      </w:pPr>
      <w:bookmarkStart w:id="47" w:name="_Toc155506583"/>
      <w:r>
        <w:rPr>
          <w:rFonts w:hint="eastAsia" w:asciiTheme="minorEastAsia" w:hAnsiTheme="minorEastAsia" w:eastAsiaTheme="minorEastAsia"/>
          <w:sz w:val="21"/>
          <w:szCs w:val="21"/>
        </w:rPr>
        <w:t>第二章  招标文件</w:t>
      </w:r>
      <w:bookmarkEnd w:id="41"/>
      <w:bookmarkEnd w:id="42"/>
      <w:bookmarkEnd w:id="43"/>
      <w:bookmarkEnd w:id="44"/>
      <w:bookmarkEnd w:id="45"/>
      <w:bookmarkEnd w:id="46"/>
      <w:bookmarkEnd w:id="47"/>
    </w:p>
    <w:p w14:paraId="19A5E38E">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48" w:name="_Toc73517649"/>
      <w:bookmarkStart w:id="49" w:name="_Toc100052374"/>
      <w:bookmarkStart w:id="50" w:name="_Toc73521645"/>
      <w:bookmarkStart w:id="51" w:name="_Toc73521557"/>
      <w:bookmarkStart w:id="52" w:name="_Toc73518127"/>
      <w:bookmarkStart w:id="53" w:name="OLE_LINK10"/>
      <w:bookmarkStart w:id="54" w:name="_Toc73521558"/>
      <w:bookmarkStart w:id="55" w:name="_Toc100052375"/>
      <w:bookmarkStart w:id="56" w:name="_Toc73517650"/>
      <w:bookmarkStart w:id="57" w:name="_Toc60631631"/>
      <w:bookmarkStart w:id="58" w:name="_Toc73521646"/>
      <w:bookmarkStart w:id="59" w:name="_Toc73518128"/>
      <w:bookmarkStart w:id="60" w:name="_Toc60560636"/>
      <w:r>
        <w:rPr>
          <w:rFonts w:hint="eastAsia" w:asciiTheme="minorEastAsia" w:hAnsiTheme="minorEastAsia" w:eastAsiaTheme="minorEastAsia"/>
          <w:b/>
          <w:szCs w:val="21"/>
        </w:rPr>
        <w:t>招标文件的组成</w:t>
      </w:r>
      <w:bookmarkEnd w:id="48"/>
      <w:bookmarkEnd w:id="49"/>
      <w:bookmarkEnd w:id="50"/>
      <w:bookmarkEnd w:id="51"/>
      <w:bookmarkEnd w:id="52"/>
    </w:p>
    <w:p w14:paraId="037BA5CD">
      <w:pPr>
        <w:snapToGrid w:val="0"/>
        <w:spacing w:line="360" w:lineRule="auto"/>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招标文件除以下内容外，采购人在招标期间发出的答疑文件和其他补充修改文件，均是招标文件的组成部分，对投标人起约束作用；</w:t>
      </w:r>
    </w:p>
    <w:p w14:paraId="0B94A41F">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r>
        <w:rPr>
          <w:rFonts w:hint="eastAsia" w:asciiTheme="minorEastAsia" w:hAnsiTheme="minorEastAsia" w:eastAsiaTheme="minorEastAsia"/>
          <w:b/>
          <w:szCs w:val="21"/>
        </w:rPr>
        <w:t>招标文件包括下列内容：</w:t>
      </w:r>
    </w:p>
    <w:p w14:paraId="29F73466">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第一册  通用条款</w:t>
      </w:r>
    </w:p>
    <w:p w14:paraId="29F5CE1D">
      <w:pPr>
        <w:spacing w:line="360" w:lineRule="auto"/>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第一章 总则</w:t>
      </w:r>
    </w:p>
    <w:p w14:paraId="1BBBBFCA">
      <w:pPr>
        <w:spacing w:line="360" w:lineRule="auto"/>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第二章 招标文件</w:t>
      </w:r>
    </w:p>
    <w:p w14:paraId="14C1EB96">
      <w:pPr>
        <w:spacing w:line="360" w:lineRule="auto"/>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第三章 投标文件的编制</w:t>
      </w:r>
    </w:p>
    <w:p w14:paraId="6BEF733C">
      <w:pPr>
        <w:spacing w:line="360" w:lineRule="auto"/>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第四章 投标文件的递交</w:t>
      </w:r>
    </w:p>
    <w:p w14:paraId="0D4EC2C9">
      <w:pPr>
        <w:spacing w:line="360" w:lineRule="auto"/>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第五章 开标</w:t>
      </w:r>
    </w:p>
    <w:p w14:paraId="5D83133F">
      <w:pPr>
        <w:spacing w:line="360" w:lineRule="auto"/>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第六章 评标</w:t>
      </w:r>
    </w:p>
    <w:p w14:paraId="383D8B49">
      <w:pPr>
        <w:spacing w:line="360" w:lineRule="auto"/>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第七章 评审程序及评标方法</w:t>
      </w:r>
    </w:p>
    <w:p w14:paraId="1A562519">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第二册  专用条款</w:t>
      </w:r>
    </w:p>
    <w:p w14:paraId="5A6514C3">
      <w:pPr>
        <w:spacing w:line="360" w:lineRule="auto"/>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第一章 招标公告</w:t>
      </w:r>
    </w:p>
    <w:p w14:paraId="748B1A36">
      <w:pPr>
        <w:spacing w:line="360" w:lineRule="auto"/>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第二章 关键信息</w:t>
      </w:r>
    </w:p>
    <w:p w14:paraId="58E123AA">
      <w:pPr>
        <w:spacing w:line="360" w:lineRule="auto"/>
        <w:ind w:firstLine="1260" w:firstLineChars="600"/>
        <w:rPr>
          <w:rFonts w:asciiTheme="minorEastAsia" w:hAnsiTheme="minorEastAsia" w:eastAsiaTheme="minorEastAsia"/>
          <w:szCs w:val="21"/>
        </w:rPr>
      </w:pPr>
      <w:r>
        <w:rPr>
          <w:rFonts w:hint="eastAsia" w:asciiTheme="minorEastAsia" w:hAnsiTheme="minorEastAsia" w:eastAsiaTheme="minorEastAsia"/>
          <w:szCs w:val="21"/>
        </w:rPr>
        <w:t>表一、投标须知前附表</w:t>
      </w:r>
    </w:p>
    <w:p w14:paraId="33A64E7C">
      <w:pPr>
        <w:spacing w:line="360" w:lineRule="auto"/>
        <w:ind w:firstLine="1260" w:firstLineChars="600"/>
        <w:rPr>
          <w:rFonts w:asciiTheme="minorEastAsia" w:hAnsiTheme="minorEastAsia" w:eastAsiaTheme="minorEastAsia"/>
          <w:szCs w:val="21"/>
        </w:rPr>
      </w:pPr>
      <w:r>
        <w:rPr>
          <w:rFonts w:hint="eastAsia" w:asciiTheme="minorEastAsia" w:hAnsiTheme="minorEastAsia" w:eastAsiaTheme="minorEastAsia"/>
          <w:szCs w:val="21"/>
        </w:rPr>
        <w:t>表二、投标文件初审表</w:t>
      </w:r>
    </w:p>
    <w:p w14:paraId="0096184E">
      <w:pPr>
        <w:spacing w:line="360" w:lineRule="auto"/>
        <w:ind w:firstLine="1260" w:firstLineChars="600"/>
        <w:rPr>
          <w:rFonts w:asciiTheme="minorEastAsia" w:hAnsiTheme="minorEastAsia" w:eastAsiaTheme="minorEastAsia"/>
          <w:szCs w:val="21"/>
        </w:rPr>
      </w:pPr>
      <w:r>
        <w:rPr>
          <w:rFonts w:hint="eastAsia" w:asciiTheme="minorEastAsia" w:hAnsiTheme="minorEastAsia" w:eastAsiaTheme="minorEastAsia"/>
          <w:szCs w:val="21"/>
        </w:rPr>
        <w:t>表三、评标信息</w:t>
      </w:r>
    </w:p>
    <w:p w14:paraId="724ED839">
      <w:pPr>
        <w:spacing w:line="360" w:lineRule="auto"/>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第三章 招标项目需求</w:t>
      </w:r>
    </w:p>
    <w:p w14:paraId="3C5FEC56">
      <w:pPr>
        <w:spacing w:line="360" w:lineRule="auto"/>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 xml:space="preserve">第四章 </w:t>
      </w:r>
      <w:r>
        <w:rPr>
          <w:rFonts w:hint="eastAsia" w:asciiTheme="minorEastAsia" w:hAnsiTheme="minorEastAsia" w:eastAsiaTheme="minorEastAsia"/>
          <w:szCs w:val="21"/>
          <w:lang w:eastAsia="zh-CN"/>
        </w:rPr>
        <w:t>相关</w:t>
      </w:r>
      <w:r>
        <w:rPr>
          <w:rFonts w:hint="eastAsia" w:asciiTheme="minorEastAsia" w:hAnsiTheme="minorEastAsia" w:eastAsiaTheme="minorEastAsia"/>
          <w:szCs w:val="21"/>
        </w:rPr>
        <w:t>格式</w:t>
      </w:r>
    </w:p>
    <w:p w14:paraId="3997FA60">
      <w:pPr>
        <w:pStyle w:val="88"/>
        <w:numPr>
          <w:ilvl w:val="0"/>
          <w:numId w:val="7"/>
        </w:numPr>
        <w:snapToGrid w:val="0"/>
        <w:spacing w:line="360" w:lineRule="auto"/>
        <w:ind w:left="425" w:leftChars="0" w:hanging="425" w:firstLineChars="0"/>
      </w:pPr>
      <w:r>
        <w:rPr>
          <w:rFonts w:hint="eastAsia" w:asciiTheme="minorEastAsia" w:hAnsiTheme="minorEastAsia" w:eastAsiaTheme="minorEastAsia"/>
          <w:b/>
          <w:szCs w:val="21"/>
        </w:rPr>
        <w:t>招标文件</w:t>
      </w:r>
      <w:r>
        <w:rPr>
          <w:rFonts w:hint="eastAsia" w:asciiTheme="minorEastAsia" w:hAnsiTheme="minorEastAsia" w:eastAsiaTheme="minorEastAsia"/>
          <w:b/>
          <w:szCs w:val="21"/>
          <w:lang w:eastAsia="zh-CN"/>
        </w:rPr>
        <w:t>答疑</w:t>
      </w:r>
      <w:r>
        <w:rPr>
          <w:rFonts w:hint="eastAsia" w:asciiTheme="minorEastAsia" w:hAnsiTheme="minorEastAsia" w:eastAsiaTheme="minorEastAsia"/>
          <w:b/>
          <w:szCs w:val="21"/>
        </w:rPr>
        <w:t>：</w:t>
      </w:r>
    </w:p>
    <w:p w14:paraId="3604EA82">
      <w:pPr>
        <w:pStyle w:val="88"/>
        <w:numPr>
          <w:ilvl w:val="1"/>
          <w:numId w:val="9"/>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人获得招标文件后，应仔细检查招标文件的所有内容，如有残缺应在投标答疑截止时间之前向采购人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14:paraId="61716D7D">
      <w:pPr>
        <w:pStyle w:val="88"/>
        <w:numPr>
          <w:ilvl w:val="1"/>
          <w:numId w:val="9"/>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任何人或任何组织向投标人提交的任何书面或口头资料，未经采购人在网上发布或书面通知，均作无效处理，不得作为招标文件的组成部分。采购人对投标人由此而做出的推论、理解和结论概不负责。</w:t>
      </w:r>
      <w:bookmarkEnd w:id="53"/>
    </w:p>
    <w:p w14:paraId="721038FF">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r>
        <w:rPr>
          <w:rFonts w:hint="eastAsia" w:asciiTheme="minorEastAsia" w:hAnsiTheme="minorEastAsia" w:eastAsiaTheme="minorEastAsia"/>
          <w:b/>
          <w:szCs w:val="21"/>
        </w:rPr>
        <w:t>招标文件的澄清</w:t>
      </w:r>
      <w:bookmarkEnd w:id="54"/>
      <w:bookmarkEnd w:id="55"/>
      <w:bookmarkEnd w:id="56"/>
      <w:bookmarkEnd w:id="57"/>
      <w:bookmarkEnd w:id="58"/>
      <w:bookmarkEnd w:id="59"/>
      <w:bookmarkEnd w:id="60"/>
    </w:p>
    <w:p w14:paraId="670ED778">
      <w:pPr>
        <w:pStyle w:val="88"/>
        <w:numPr>
          <w:ilvl w:val="1"/>
          <w:numId w:val="10"/>
        </w:numPr>
        <w:snapToGrid w:val="0"/>
        <w:spacing w:line="360" w:lineRule="auto"/>
        <w:ind w:firstLineChars="0"/>
        <w:rPr>
          <w:rFonts w:asciiTheme="minorEastAsia" w:hAnsiTheme="minorEastAsia" w:eastAsiaTheme="minorEastAsia"/>
          <w:szCs w:val="21"/>
        </w:rPr>
      </w:pPr>
      <w:bookmarkStart w:id="61" w:name="_Toc73517651"/>
      <w:bookmarkStart w:id="62" w:name="_Toc73518129"/>
      <w:bookmarkStart w:id="63" w:name="_Toc60631632"/>
      <w:bookmarkStart w:id="64" w:name="_Toc73521647"/>
      <w:bookmarkStart w:id="65" w:name="_Toc100052376"/>
      <w:bookmarkStart w:id="66" w:name="_Toc73521559"/>
      <w:bookmarkStart w:id="67" w:name="_Toc60560637"/>
      <w:r>
        <w:rPr>
          <w:rFonts w:hint="eastAsia" w:asciiTheme="minorEastAsia" w:hAnsiTheme="minorEastAsia" w:eastAsiaTheme="minorEastAsia"/>
          <w:szCs w:val="21"/>
        </w:rPr>
        <w:t>任何要求对招标文件进行澄清的投标人，均应于“招标公告”中所述答疑截止时间前通知采购人。采购人对规定时间内收到的对招标文件的澄清或者质疑，视情况予以答复。具体答疑方式请见本招标文件第二册第一章之规定。</w:t>
      </w:r>
    </w:p>
    <w:p w14:paraId="7F2FA001">
      <w:pPr>
        <w:pStyle w:val="88"/>
        <w:numPr>
          <w:ilvl w:val="1"/>
          <w:numId w:val="10"/>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对于没有提出澄清或者质疑又参与了该项目投标的供应商将被视为完全认同该招标文件，投标截止期后不再受理针对招标文件的相关质疑、投诉。</w:t>
      </w:r>
    </w:p>
    <w:p w14:paraId="3AC6689B">
      <w:pPr>
        <w:pStyle w:val="88"/>
        <w:numPr>
          <w:ilvl w:val="1"/>
          <w:numId w:val="10"/>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对招标文件中描述有歧义或前后不一致的地方，</w:t>
      </w:r>
      <w:r>
        <w:rPr>
          <w:rFonts w:hint="eastAsia" w:asciiTheme="minorEastAsia" w:hAnsiTheme="minorEastAsia" w:eastAsiaTheme="minorEastAsia"/>
          <w:szCs w:val="21"/>
          <w:lang w:eastAsia="zh-CN"/>
        </w:rPr>
        <w:t>中心招标小组</w:t>
      </w:r>
      <w:r>
        <w:rPr>
          <w:rFonts w:hint="eastAsia" w:asciiTheme="minorEastAsia" w:hAnsiTheme="minorEastAsia" w:eastAsiaTheme="minorEastAsia"/>
          <w:szCs w:val="21"/>
        </w:rPr>
        <w:t>有权进行评判，但对同一条款的评判应适用于每个投标人。</w:t>
      </w:r>
    </w:p>
    <w:p w14:paraId="127A4417">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r>
        <w:rPr>
          <w:rFonts w:hint="eastAsia" w:asciiTheme="minorEastAsia" w:hAnsiTheme="minorEastAsia" w:eastAsiaTheme="minorEastAsia"/>
          <w:b/>
          <w:szCs w:val="21"/>
        </w:rPr>
        <w:t>招标文件的修改</w:t>
      </w:r>
      <w:bookmarkEnd w:id="61"/>
      <w:bookmarkEnd w:id="62"/>
      <w:bookmarkEnd w:id="63"/>
      <w:bookmarkEnd w:id="64"/>
      <w:bookmarkEnd w:id="65"/>
      <w:bookmarkEnd w:id="66"/>
      <w:bookmarkEnd w:id="67"/>
    </w:p>
    <w:p w14:paraId="69A72D79">
      <w:pPr>
        <w:pStyle w:val="88"/>
        <w:numPr>
          <w:ilvl w:val="1"/>
          <w:numId w:val="11"/>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招标文件发出后，在投标截止日期前任何时候，确需要变更招标内容的，采购人可主动地或在解答投标人提出的澄清问题时对招标文件进行修改；</w:t>
      </w:r>
    </w:p>
    <w:p w14:paraId="43FC94A1">
      <w:pPr>
        <w:pStyle w:val="88"/>
        <w:numPr>
          <w:ilvl w:val="1"/>
          <w:numId w:val="11"/>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招标文件的修改以网站公开发布方式</w:t>
      </w:r>
      <w:r>
        <w:rPr>
          <w:rFonts w:hint="eastAsia" w:asciiTheme="minorEastAsia" w:hAnsiTheme="minorEastAsia" w:eastAsiaTheme="minorEastAsia"/>
          <w:szCs w:val="21"/>
          <w:lang w:eastAsia="zh-CN"/>
        </w:rPr>
        <w:t>或书面形式</w:t>
      </w:r>
      <w:r>
        <w:rPr>
          <w:rFonts w:hint="eastAsia" w:asciiTheme="minorEastAsia" w:hAnsiTheme="minorEastAsia" w:eastAsiaTheme="minorEastAsia"/>
          <w:szCs w:val="21"/>
        </w:rPr>
        <w:t>发送给所有投标人，招标文件的修改内容作为招标文件的组成部分，并具有约束力。</w:t>
      </w:r>
    </w:p>
    <w:p w14:paraId="051F93F9">
      <w:pPr>
        <w:pStyle w:val="88"/>
        <w:numPr>
          <w:ilvl w:val="1"/>
          <w:numId w:val="11"/>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招标文件、招标文件澄清（答疑）纪要、招标文件修改补充通知内容均以以网站公开发布或书面形式的内容为准。当招标文件、修改补充通知、澄清（答疑）纪要内容相互矛盾时，以最后发出的通知（或纪要）或修改文件为准；</w:t>
      </w:r>
    </w:p>
    <w:p w14:paraId="446644BA">
      <w:pPr>
        <w:pStyle w:val="88"/>
        <w:numPr>
          <w:ilvl w:val="1"/>
          <w:numId w:val="11"/>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采购人保证招标文件澄清（答疑）纪要和招标文件修改补充通知在投标截止时间前以网站公开发布形式或书面形式发送给所有投标人。为使投标人在编写投标文件时有充分时间对招标文件的修改部分进行研究，采购人可以酌情延长递交投标文件的截止日期，具体时间将在修改补充通知中明确。</w:t>
      </w:r>
    </w:p>
    <w:p w14:paraId="5BEF828C">
      <w:pPr>
        <w:rPr>
          <w:rFonts w:asciiTheme="minorEastAsia" w:hAnsiTheme="minorEastAsia" w:eastAsiaTheme="minorEastAsia"/>
          <w:szCs w:val="21"/>
        </w:rPr>
      </w:pPr>
      <w:r>
        <w:rPr>
          <w:rFonts w:hint="eastAsia" w:asciiTheme="minorEastAsia" w:hAnsiTheme="minorEastAsia" w:eastAsiaTheme="minorEastAsia"/>
          <w:szCs w:val="21"/>
        </w:rPr>
        <w:br w:type="page"/>
      </w:r>
    </w:p>
    <w:p w14:paraId="481226CB">
      <w:pPr>
        <w:pStyle w:val="3"/>
        <w:spacing w:line="360" w:lineRule="auto"/>
        <w:jc w:val="center"/>
        <w:rPr>
          <w:rFonts w:asciiTheme="minorEastAsia" w:hAnsiTheme="minorEastAsia" w:eastAsiaTheme="minorEastAsia"/>
          <w:sz w:val="21"/>
          <w:szCs w:val="21"/>
        </w:rPr>
      </w:pPr>
      <w:bookmarkStart w:id="68" w:name="bt投标文件"/>
      <w:bookmarkEnd w:id="68"/>
      <w:bookmarkStart w:id="69" w:name="_Toc73521560"/>
      <w:bookmarkStart w:id="70" w:name="_Toc101074879"/>
      <w:bookmarkStart w:id="71" w:name="_Toc73518130"/>
      <w:bookmarkStart w:id="72" w:name="_Toc100052377"/>
      <w:bookmarkStart w:id="73" w:name="_Toc73521648"/>
      <w:bookmarkStart w:id="74" w:name="_Toc73517652"/>
      <w:bookmarkStart w:id="75" w:name="_Toc564398845"/>
      <w:r>
        <w:rPr>
          <w:rFonts w:hint="eastAsia" w:asciiTheme="minorEastAsia" w:hAnsiTheme="minorEastAsia" w:eastAsiaTheme="minorEastAsia"/>
          <w:sz w:val="21"/>
          <w:szCs w:val="21"/>
        </w:rPr>
        <w:t>第三章  投标文件</w:t>
      </w:r>
      <w:bookmarkEnd w:id="69"/>
      <w:bookmarkEnd w:id="70"/>
      <w:bookmarkEnd w:id="71"/>
      <w:bookmarkEnd w:id="72"/>
      <w:bookmarkEnd w:id="73"/>
      <w:bookmarkEnd w:id="74"/>
      <w:r>
        <w:rPr>
          <w:rFonts w:hint="eastAsia" w:asciiTheme="minorEastAsia" w:hAnsiTheme="minorEastAsia" w:eastAsiaTheme="minorEastAsia"/>
          <w:sz w:val="21"/>
          <w:szCs w:val="21"/>
        </w:rPr>
        <w:t>的编制</w:t>
      </w:r>
      <w:bookmarkEnd w:id="75"/>
    </w:p>
    <w:p w14:paraId="04FF17D1">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76" w:name="_Toc100052378"/>
      <w:bookmarkStart w:id="77" w:name="_Toc60631634"/>
      <w:bookmarkStart w:id="78" w:name="_Toc60560639"/>
      <w:bookmarkStart w:id="79" w:name="_Toc73518131"/>
      <w:bookmarkStart w:id="80" w:name="_Toc73517653"/>
      <w:bookmarkStart w:id="81" w:name="_Toc73521649"/>
      <w:bookmarkStart w:id="82" w:name="_Toc73521561"/>
      <w:r>
        <w:rPr>
          <w:rFonts w:hint="eastAsia" w:asciiTheme="minorEastAsia" w:hAnsiTheme="minorEastAsia" w:eastAsiaTheme="minorEastAsia"/>
          <w:b/>
          <w:szCs w:val="21"/>
        </w:rPr>
        <w:t>投标文件的语言及度量单位</w:t>
      </w:r>
      <w:bookmarkEnd w:id="76"/>
      <w:bookmarkEnd w:id="77"/>
      <w:bookmarkEnd w:id="78"/>
      <w:bookmarkEnd w:id="79"/>
      <w:bookmarkEnd w:id="80"/>
      <w:bookmarkEnd w:id="81"/>
      <w:bookmarkEnd w:id="82"/>
    </w:p>
    <w:p w14:paraId="5B76B2F0">
      <w:pPr>
        <w:pStyle w:val="88"/>
        <w:numPr>
          <w:ilvl w:val="1"/>
          <w:numId w:val="12"/>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投标人与采购人之间与投标有关的所有往来通知、函件和投标文件均用中文表述。投标人随投标文件提供的证明文件和资料可以为其它语言，但必须附中文译文，且应以中文为准；</w:t>
      </w:r>
    </w:p>
    <w:p w14:paraId="554ED4E3">
      <w:pPr>
        <w:pStyle w:val="88"/>
        <w:numPr>
          <w:ilvl w:val="1"/>
          <w:numId w:val="12"/>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除技术规范另有规定外，投标文件使用的度量单位，均采用中华人民共和国法定计量单位。</w:t>
      </w:r>
    </w:p>
    <w:p w14:paraId="16FE36B1">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83" w:name="_Toc60631635"/>
      <w:bookmarkStart w:id="84" w:name="_Toc73521562"/>
      <w:bookmarkStart w:id="85" w:name="_Toc73518132"/>
      <w:bookmarkStart w:id="86" w:name="_Toc100052379"/>
      <w:bookmarkStart w:id="87" w:name="_Toc60560640"/>
      <w:bookmarkStart w:id="88" w:name="_Toc73517654"/>
      <w:bookmarkStart w:id="89" w:name="_Toc73521650"/>
      <w:r>
        <w:rPr>
          <w:rFonts w:hint="eastAsia" w:asciiTheme="minorEastAsia" w:hAnsiTheme="minorEastAsia" w:eastAsiaTheme="minorEastAsia"/>
          <w:b/>
          <w:szCs w:val="21"/>
        </w:rPr>
        <w:t>投标文件的组成</w:t>
      </w:r>
      <w:bookmarkEnd w:id="83"/>
      <w:bookmarkEnd w:id="84"/>
      <w:bookmarkEnd w:id="85"/>
      <w:bookmarkEnd w:id="86"/>
      <w:bookmarkEnd w:id="87"/>
      <w:bookmarkEnd w:id="88"/>
      <w:bookmarkEnd w:id="89"/>
    </w:p>
    <w:p w14:paraId="1A95E4EF">
      <w:pPr>
        <w:snapToGrid w:val="0"/>
        <w:spacing w:line="360" w:lineRule="auto"/>
        <w:ind w:firstLine="411" w:firstLineChars="196"/>
        <w:rPr>
          <w:rFonts w:asciiTheme="minorEastAsia" w:hAnsiTheme="minorEastAsia" w:eastAsiaTheme="minorEastAsia"/>
          <w:szCs w:val="21"/>
        </w:rPr>
      </w:pPr>
      <w:r>
        <w:rPr>
          <w:rFonts w:hint="eastAsia" w:asciiTheme="minorEastAsia" w:hAnsiTheme="minorEastAsia" w:eastAsiaTheme="minorEastAsia"/>
          <w:szCs w:val="21"/>
        </w:rPr>
        <w:t>（具体内容请详见第二册第</w:t>
      </w:r>
      <w:r>
        <w:rPr>
          <w:rFonts w:hint="eastAsia" w:asciiTheme="minorEastAsia" w:hAnsiTheme="minorEastAsia" w:eastAsiaTheme="minorEastAsia"/>
          <w:szCs w:val="21"/>
          <w:lang w:eastAsia="zh-CN"/>
        </w:rPr>
        <w:t>四</w:t>
      </w:r>
      <w:r>
        <w:rPr>
          <w:rFonts w:hint="eastAsia" w:asciiTheme="minorEastAsia" w:hAnsiTheme="minorEastAsia" w:eastAsiaTheme="minorEastAsia"/>
          <w:szCs w:val="21"/>
        </w:rPr>
        <w:t>章的相关内容）</w:t>
      </w:r>
      <w:bookmarkStart w:id="90" w:name="投标文件的组成"/>
      <w:bookmarkStart w:id="91" w:name="_Toc73518133"/>
      <w:bookmarkStart w:id="92" w:name="_Toc73517655"/>
      <w:bookmarkStart w:id="93" w:name="_Toc73521651"/>
      <w:bookmarkStart w:id="94" w:name="_Toc60631636"/>
      <w:bookmarkStart w:id="95" w:name="_Toc73521563"/>
      <w:bookmarkStart w:id="96" w:name="_Toc60560641"/>
    </w:p>
    <w:bookmarkEnd w:id="90"/>
    <w:p w14:paraId="5AE56275">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97" w:name="_Toc100052380"/>
      <w:r>
        <w:rPr>
          <w:rFonts w:hint="eastAsia" w:asciiTheme="minorEastAsia" w:hAnsiTheme="minorEastAsia" w:eastAsiaTheme="minorEastAsia"/>
          <w:b/>
          <w:szCs w:val="21"/>
        </w:rPr>
        <w:t>投标文件格式</w:t>
      </w:r>
      <w:bookmarkEnd w:id="91"/>
      <w:bookmarkEnd w:id="92"/>
      <w:bookmarkEnd w:id="93"/>
      <w:bookmarkEnd w:id="94"/>
      <w:bookmarkEnd w:id="95"/>
      <w:bookmarkEnd w:id="96"/>
      <w:bookmarkEnd w:id="97"/>
    </w:p>
    <w:p w14:paraId="4BD9EBFE">
      <w:pPr>
        <w:snapToGrid w:val="0"/>
        <w:spacing w:line="360" w:lineRule="auto"/>
        <w:ind w:firstLine="411" w:firstLineChars="196"/>
        <w:rPr>
          <w:rFonts w:asciiTheme="minorEastAsia" w:hAnsiTheme="minorEastAsia" w:eastAsiaTheme="minorEastAsia"/>
          <w:szCs w:val="21"/>
        </w:rPr>
      </w:pPr>
      <w:r>
        <w:rPr>
          <w:rFonts w:hint="eastAsia" w:asciiTheme="minorEastAsia" w:hAnsiTheme="minorEastAsia" w:eastAsiaTheme="minorEastAsia"/>
          <w:szCs w:val="21"/>
        </w:rPr>
        <w:t>投标文件包括本通用条款第14条中规定的内容。如招标文件提供了投标文件格式，则投标人提交的投标文件应毫无例外地使用招标文件所提供的相应格式（表格可以按同样格式扩展）。</w:t>
      </w:r>
      <w:bookmarkStart w:id="98" w:name="_Toc73521565"/>
      <w:bookmarkStart w:id="99" w:name="_Toc73518135"/>
      <w:bookmarkStart w:id="100" w:name="_Toc60560643"/>
      <w:bookmarkStart w:id="101" w:name="_Toc60631638"/>
      <w:bookmarkStart w:id="102" w:name="_Toc73521653"/>
      <w:bookmarkStart w:id="103" w:name="_Toc73517657"/>
    </w:p>
    <w:p w14:paraId="76D6B20D">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104" w:name="_Toc100052382"/>
      <w:r>
        <w:rPr>
          <w:rFonts w:hint="eastAsia" w:asciiTheme="minorEastAsia" w:hAnsiTheme="minorEastAsia" w:eastAsiaTheme="minorEastAsia"/>
          <w:b/>
          <w:szCs w:val="21"/>
        </w:rPr>
        <w:t>投标货币</w:t>
      </w:r>
      <w:bookmarkEnd w:id="98"/>
      <w:bookmarkEnd w:id="99"/>
      <w:bookmarkEnd w:id="100"/>
      <w:bookmarkEnd w:id="101"/>
      <w:bookmarkEnd w:id="102"/>
      <w:bookmarkEnd w:id="103"/>
      <w:bookmarkEnd w:id="104"/>
    </w:p>
    <w:p w14:paraId="2D5915E9">
      <w:pPr>
        <w:snapToGrid w:val="0"/>
        <w:spacing w:line="360" w:lineRule="auto"/>
        <w:ind w:firstLine="411" w:firstLineChars="196"/>
        <w:rPr>
          <w:rFonts w:asciiTheme="minorEastAsia" w:hAnsiTheme="minorEastAsia" w:eastAsiaTheme="minorEastAsia"/>
          <w:szCs w:val="21"/>
        </w:rPr>
      </w:pPr>
      <w:r>
        <w:rPr>
          <w:rFonts w:hint="eastAsia" w:asciiTheme="minorEastAsia" w:hAnsiTheme="minorEastAsia" w:eastAsiaTheme="minorEastAsia"/>
          <w:szCs w:val="21"/>
        </w:rPr>
        <w:t>本项目的投标应以人民币计。</w:t>
      </w:r>
    </w:p>
    <w:p w14:paraId="5F3AA531">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105" w:name="_Toc73518136"/>
      <w:bookmarkStart w:id="106" w:name="_Toc60631639"/>
      <w:bookmarkStart w:id="107" w:name="_Toc100052383"/>
      <w:bookmarkStart w:id="108" w:name="_Toc73521566"/>
      <w:bookmarkStart w:id="109" w:name="_Toc73521654"/>
      <w:bookmarkStart w:id="110" w:name="_Toc60560644"/>
      <w:bookmarkStart w:id="111" w:name="_Toc73517658"/>
      <w:r>
        <w:rPr>
          <w:rFonts w:hint="eastAsia" w:asciiTheme="minorEastAsia" w:hAnsiTheme="minorEastAsia" w:eastAsiaTheme="minorEastAsia"/>
          <w:b/>
          <w:szCs w:val="21"/>
        </w:rPr>
        <w:t>投标有效期</w:t>
      </w:r>
      <w:bookmarkEnd w:id="105"/>
      <w:bookmarkEnd w:id="106"/>
      <w:bookmarkEnd w:id="107"/>
      <w:bookmarkEnd w:id="108"/>
      <w:bookmarkEnd w:id="109"/>
      <w:bookmarkEnd w:id="110"/>
      <w:bookmarkEnd w:id="111"/>
    </w:p>
    <w:p w14:paraId="0F6CD99E">
      <w:pPr>
        <w:pStyle w:val="88"/>
        <w:numPr>
          <w:ilvl w:val="1"/>
          <w:numId w:val="13"/>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投标有效期为从投标截止之日算起90个日历天，在此期限内，所有投标文件均保持有效；</w:t>
      </w:r>
    </w:p>
    <w:p w14:paraId="1FA844A7">
      <w:pPr>
        <w:pStyle w:val="88"/>
        <w:numPr>
          <w:ilvl w:val="1"/>
          <w:numId w:val="13"/>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中标供应商的投标书有效期，截止于完成本招标文件规定的全部项目内容，并通过验收及保修结束。</w:t>
      </w:r>
    </w:p>
    <w:p w14:paraId="4F91E738">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112" w:name="_Toc60631640"/>
      <w:bookmarkStart w:id="113" w:name="_Toc73521567"/>
      <w:bookmarkStart w:id="114" w:name="_Toc73517659"/>
      <w:bookmarkStart w:id="115" w:name="_Toc73518137"/>
      <w:bookmarkStart w:id="116" w:name="_Toc100052384"/>
      <w:bookmarkStart w:id="117" w:name="_Toc73521655"/>
      <w:bookmarkStart w:id="118" w:name="_Toc60560645"/>
      <w:r>
        <w:rPr>
          <w:rFonts w:hint="eastAsia" w:asciiTheme="minorEastAsia" w:hAnsiTheme="minorEastAsia" w:eastAsiaTheme="minorEastAsia"/>
          <w:b/>
          <w:szCs w:val="21"/>
        </w:rPr>
        <w:t>投标担保</w:t>
      </w:r>
      <w:bookmarkEnd w:id="112"/>
      <w:bookmarkEnd w:id="113"/>
      <w:bookmarkEnd w:id="114"/>
      <w:bookmarkEnd w:id="115"/>
      <w:bookmarkEnd w:id="116"/>
      <w:bookmarkEnd w:id="117"/>
      <w:bookmarkEnd w:id="118"/>
      <w:r>
        <w:rPr>
          <w:rFonts w:hint="eastAsia" w:asciiTheme="minorEastAsia" w:hAnsiTheme="minorEastAsia" w:eastAsiaTheme="minorEastAsia"/>
          <w:b/>
          <w:szCs w:val="21"/>
          <w:lang w:eastAsia="zh-CN"/>
        </w:rPr>
        <w:t>：无投标保证金</w:t>
      </w:r>
    </w:p>
    <w:p w14:paraId="085D7D88">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119" w:name="_Toc100052385"/>
      <w:bookmarkStart w:id="120" w:name="_Toc73518138"/>
      <w:bookmarkStart w:id="121" w:name="_Toc60631641"/>
      <w:bookmarkStart w:id="122" w:name="_Toc73517660"/>
      <w:bookmarkStart w:id="123" w:name="_Toc73521568"/>
      <w:bookmarkStart w:id="124" w:name="_Toc60560646"/>
      <w:bookmarkStart w:id="125" w:name="_Toc73521656"/>
      <w:r>
        <w:rPr>
          <w:rFonts w:hint="eastAsia" w:asciiTheme="minorEastAsia" w:hAnsiTheme="minorEastAsia" w:eastAsiaTheme="minorEastAsia"/>
          <w:b/>
          <w:szCs w:val="21"/>
        </w:rPr>
        <w:t>投标人的替代方案</w:t>
      </w:r>
      <w:bookmarkEnd w:id="119"/>
      <w:bookmarkEnd w:id="120"/>
      <w:bookmarkEnd w:id="121"/>
      <w:bookmarkEnd w:id="122"/>
      <w:bookmarkEnd w:id="123"/>
      <w:bookmarkEnd w:id="124"/>
      <w:bookmarkEnd w:id="125"/>
    </w:p>
    <w:p w14:paraId="1B7D9E8C">
      <w:pPr>
        <w:pStyle w:val="88"/>
        <w:numPr>
          <w:ilvl w:val="1"/>
          <w:numId w:val="14"/>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投标人所提交的投标文件应完全满足招标文件（包括图纸和技术规范所示的基本技术设计）的要求。除非“投标须知前附表”中允许投标人提交替代方案，否则投标人有关替代方案的条款将不予考虑。</w:t>
      </w:r>
    </w:p>
    <w:p w14:paraId="2A60E06C">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126" w:name="_Toc73518139"/>
      <w:bookmarkStart w:id="127" w:name="_Toc73521657"/>
      <w:bookmarkStart w:id="128" w:name="_Toc73517661"/>
      <w:bookmarkStart w:id="129" w:name="_Toc100052386"/>
      <w:bookmarkStart w:id="130" w:name="_Toc73521569"/>
      <w:r>
        <w:rPr>
          <w:rFonts w:hint="eastAsia" w:asciiTheme="minorEastAsia" w:hAnsiTheme="minorEastAsia" w:eastAsiaTheme="minorEastAsia"/>
          <w:b/>
          <w:szCs w:val="21"/>
        </w:rPr>
        <w:t>投标文件的</w:t>
      </w:r>
      <w:bookmarkEnd w:id="126"/>
      <w:bookmarkEnd w:id="127"/>
      <w:bookmarkEnd w:id="128"/>
      <w:bookmarkEnd w:id="129"/>
      <w:bookmarkEnd w:id="130"/>
      <w:r>
        <w:rPr>
          <w:rFonts w:hint="eastAsia" w:asciiTheme="minorEastAsia" w:hAnsiTheme="minorEastAsia" w:eastAsiaTheme="minorEastAsia"/>
          <w:b/>
          <w:szCs w:val="21"/>
        </w:rPr>
        <w:t>构成及编写</w:t>
      </w:r>
    </w:p>
    <w:p w14:paraId="22264564">
      <w:pPr>
        <w:pStyle w:val="88"/>
        <w:numPr>
          <w:ilvl w:val="1"/>
          <w:numId w:val="15"/>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投标文件的构成</w:t>
      </w:r>
    </w:p>
    <w:p w14:paraId="3D99F13B">
      <w:pPr>
        <w:pStyle w:val="88"/>
        <w:numPr>
          <w:ilvl w:val="2"/>
          <w:numId w:val="16"/>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投标人编写的投标文件应包括资格性文件、符合性文件、技术文件、商务文件等，编排顺序参见投标文件格式。</w:t>
      </w:r>
    </w:p>
    <w:p w14:paraId="56D63B85">
      <w:pPr>
        <w:pStyle w:val="88"/>
        <w:numPr>
          <w:ilvl w:val="2"/>
          <w:numId w:val="16"/>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投标文件的构成应符合法律法规及招标文件的要求。</w:t>
      </w:r>
    </w:p>
    <w:p w14:paraId="48199F7F">
      <w:pPr>
        <w:pStyle w:val="88"/>
        <w:numPr>
          <w:ilvl w:val="1"/>
          <w:numId w:val="15"/>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投标文件的编写</w:t>
      </w:r>
    </w:p>
    <w:p w14:paraId="6C145B6C">
      <w:pPr>
        <w:pStyle w:val="88"/>
        <w:numPr>
          <w:ilvl w:val="2"/>
          <w:numId w:val="17"/>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人对招标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121B79BA">
      <w:pPr>
        <w:pStyle w:val="88"/>
        <w:numPr>
          <w:ilvl w:val="2"/>
          <w:numId w:val="17"/>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人应准备纸质投标文件正本、开标一览表、电子文件各一份及投标须知前附表中规定数目的纸质副本。投标文件的副本可采用正本的复印件。每套投标文件须清楚地标明“正本”或“副本”。若副本与正本不符，以正本为准。</w:t>
      </w:r>
    </w:p>
    <w:p w14:paraId="40FAA6F3">
      <w:pPr>
        <w:pStyle w:val="88"/>
        <w:numPr>
          <w:ilvl w:val="2"/>
          <w:numId w:val="17"/>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投标人必须对投标文件所提供的全部资料的真实性承担法律责任，并无条件接受采购人或者采购监督管理部门对其中任何资料进行核实的要求。</w:t>
      </w:r>
    </w:p>
    <w:p w14:paraId="6737D435">
      <w:pPr>
        <w:pStyle w:val="88"/>
        <w:numPr>
          <w:ilvl w:val="2"/>
          <w:numId w:val="17"/>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如果因为投标人的投标文件只填写和提供了本招标文件要求的部分内容和附件，或没有提供招标文件中所要求的资料及数据，由此造成的后果和责任由投标人承担。</w:t>
      </w:r>
    </w:p>
    <w:p w14:paraId="28DB6613">
      <w:pPr>
        <w:pStyle w:val="88"/>
        <w:numPr>
          <w:ilvl w:val="2"/>
          <w:numId w:val="17"/>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人应认真阅读、并充分理解招标文件的全部内容（包括所有的补充、修改内容重要事项、格式、条款和技术规范、参数及要求等）。投标人没有按照招标文件要求提交资料，或者投标文件没有对招标文件在各方面都作出实质性响应是投标人的风险，有可能导致其投标被认定为无效投标或被确定为投标无效。</w:t>
      </w:r>
    </w:p>
    <w:p w14:paraId="0AFD7068">
      <w:pPr>
        <w:rPr>
          <w:rFonts w:asciiTheme="minorEastAsia" w:hAnsiTheme="minorEastAsia" w:eastAsiaTheme="minorEastAsia"/>
          <w:szCs w:val="21"/>
        </w:rPr>
      </w:pPr>
      <w:r>
        <w:rPr>
          <w:rFonts w:hint="eastAsia" w:asciiTheme="minorEastAsia" w:hAnsiTheme="minorEastAsia" w:eastAsiaTheme="minorEastAsia"/>
          <w:szCs w:val="21"/>
        </w:rPr>
        <w:br w:type="page"/>
      </w:r>
    </w:p>
    <w:p w14:paraId="04619624">
      <w:pPr>
        <w:pStyle w:val="3"/>
        <w:spacing w:line="360" w:lineRule="auto"/>
        <w:jc w:val="center"/>
        <w:rPr>
          <w:rFonts w:asciiTheme="minorEastAsia" w:hAnsiTheme="minorEastAsia" w:eastAsiaTheme="minorEastAsia"/>
          <w:sz w:val="21"/>
          <w:szCs w:val="21"/>
        </w:rPr>
      </w:pPr>
      <w:bookmarkStart w:id="131" w:name="_Toc100052387"/>
      <w:bookmarkStart w:id="132" w:name="_Toc73521658"/>
      <w:bookmarkStart w:id="133" w:name="_Toc73521570"/>
      <w:bookmarkStart w:id="134" w:name="_Toc73518140"/>
      <w:bookmarkStart w:id="135" w:name="_Toc73517662"/>
      <w:bookmarkStart w:id="136" w:name="_Toc101074880"/>
      <w:bookmarkStart w:id="137" w:name="_Toc1311005989"/>
      <w:r>
        <w:rPr>
          <w:rFonts w:hint="eastAsia" w:asciiTheme="minorEastAsia" w:hAnsiTheme="minorEastAsia" w:eastAsiaTheme="minorEastAsia"/>
          <w:sz w:val="21"/>
          <w:szCs w:val="21"/>
        </w:rPr>
        <w:t>第四章  投标文件</w:t>
      </w:r>
      <w:bookmarkEnd w:id="131"/>
      <w:bookmarkEnd w:id="132"/>
      <w:bookmarkEnd w:id="133"/>
      <w:bookmarkEnd w:id="134"/>
      <w:bookmarkEnd w:id="135"/>
      <w:bookmarkEnd w:id="136"/>
      <w:r>
        <w:rPr>
          <w:rFonts w:hint="eastAsia" w:asciiTheme="minorEastAsia" w:hAnsiTheme="minorEastAsia" w:eastAsiaTheme="minorEastAsia"/>
          <w:sz w:val="21"/>
          <w:szCs w:val="21"/>
        </w:rPr>
        <w:t>的递交</w:t>
      </w:r>
      <w:bookmarkEnd w:id="137"/>
    </w:p>
    <w:p w14:paraId="6D20406A">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138" w:name="_Toc73518141"/>
      <w:bookmarkStart w:id="139" w:name="_Toc73521571"/>
      <w:bookmarkStart w:id="140" w:name="_Toc73521659"/>
      <w:bookmarkStart w:id="141" w:name="_Toc100052388"/>
      <w:bookmarkStart w:id="142" w:name="_Toc60631644"/>
      <w:bookmarkStart w:id="143" w:name="_Toc73517663"/>
      <w:bookmarkStart w:id="144" w:name="_Toc60560649"/>
      <w:r>
        <w:rPr>
          <w:rFonts w:hint="eastAsia" w:asciiTheme="minorEastAsia" w:hAnsiTheme="minorEastAsia" w:eastAsiaTheme="minorEastAsia"/>
          <w:b/>
          <w:szCs w:val="21"/>
        </w:rPr>
        <w:t>投标文件的递交</w:t>
      </w:r>
    </w:p>
    <w:p w14:paraId="2367B91F">
      <w:pPr>
        <w:pStyle w:val="88"/>
        <w:numPr>
          <w:ilvl w:val="1"/>
          <w:numId w:val="18"/>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投标文件的密封和标记。</w:t>
      </w:r>
    </w:p>
    <w:p w14:paraId="37E3B1F9">
      <w:pPr>
        <w:pStyle w:val="88"/>
        <w:numPr>
          <w:ilvl w:val="2"/>
          <w:numId w:val="19"/>
        </w:numPr>
        <w:snapToGrid w:val="0"/>
        <w:spacing w:line="360" w:lineRule="auto"/>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投标人应将开标一览表、投标文件（含正本和所有副本、投标文件电子光盘）分开单独密封，并标明招标编号、招标项目名称及“正本”或“副本”。</w:t>
      </w:r>
    </w:p>
    <w:p w14:paraId="57DBED1C">
      <w:pPr>
        <w:pStyle w:val="88"/>
        <w:numPr>
          <w:ilvl w:val="2"/>
          <w:numId w:val="19"/>
        </w:numPr>
        <w:snapToGrid w:val="0"/>
        <w:spacing w:line="360" w:lineRule="auto"/>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密封包上注明按“投标须知前附表”所规定的开标时间（指招标公告中规定的开标时间）前不准启封的字样。</w:t>
      </w:r>
    </w:p>
    <w:p w14:paraId="7ABDCD0C">
      <w:pPr>
        <w:pStyle w:val="88"/>
        <w:numPr>
          <w:ilvl w:val="2"/>
          <w:numId w:val="19"/>
        </w:numPr>
        <w:snapToGrid w:val="0"/>
        <w:spacing w:line="360" w:lineRule="auto"/>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如投标文件由专人送交，投标方应将投标文件按第21.1.1、21.1.2款中的规定进行密封和标记后，按招标公告注明的地址送至采购人。</w:t>
      </w:r>
    </w:p>
    <w:p w14:paraId="29019900">
      <w:pPr>
        <w:pStyle w:val="88"/>
        <w:numPr>
          <w:ilvl w:val="2"/>
          <w:numId w:val="19"/>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邮寄、电报、电话、传真形式的投标概不接受。</w:t>
      </w:r>
    </w:p>
    <w:p w14:paraId="5FE8F455">
      <w:pPr>
        <w:pStyle w:val="88"/>
        <w:numPr>
          <w:ilvl w:val="1"/>
          <w:numId w:val="18"/>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投标截止时间</w:t>
      </w:r>
    </w:p>
    <w:p w14:paraId="37607B9A">
      <w:pPr>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采购人在本通用条款第21.1.3款规定的地址收到投标文件的时间不得迟于招标公告所规定的时间。</w:t>
      </w:r>
    </w:p>
    <w:p w14:paraId="334FB0FF">
      <w:pPr>
        <w:pStyle w:val="88"/>
        <w:numPr>
          <w:ilvl w:val="1"/>
          <w:numId w:val="18"/>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迟交的投标文件</w:t>
      </w:r>
    </w:p>
    <w:p w14:paraId="105C7391">
      <w:pPr>
        <w:snapToGrid w:val="0"/>
        <w:spacing w:line="360" w:lineRule="auto"/>
        <w:ind w:left="424" w:hanging="424" w:hangingChars="202"/>
        <w:rPr>
          <w:rFonts w:asciiTheme="minorEastAsia" w:hAnsiTheme="minorEastAsia" w:eastAsiaTheme="minorEastAsia"/>
          <w:szCs w:val="21"/>
        </w:rPr>
      </w:pPr>
      <w:r>
        <w:rPr>
          <w:rFonts w:hint="eastAsia" w:asciiTheme="minorEastAsia" w:hAnsiTheme="minorEastAsia" w:eastAsiaTheme="minorEastAsia"/>
          <w:szCs w:val="21"/>
        </w:rPr>
        <w:t xml:space="preserve">    按照本通用条款第21.2款规定，采购人将拒绝并原封退回在其规定的投标截止期后收到的任何投标文件。</w:t>
      </w:r>
    </w:p>
    <w:p w14:paraId="13442413">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r>
        <w:rPr>
          <w:rFonts w:hint="eastAsia" w:asciiTheme="minorEastAsia" w:hAnsiTheme="minorEastAsia" w:eastAsiaTheme="minorEastAsia"/>
          <w:b/>
          <w:szCs w:val="21"/>
        </w:rPr>
        <w:t>投标文件的修改和撤销</w:t>
      </w:r>
    </w:p>
    <w:bookmarkEnd w:id="138"/>
    <w:bookmarkEnd w:id="139"/>
    <w:bookmarkEnd w:id="140"/>
    <w:bookmarkEnd w:id="141"/>
    <w:bookmarkEnd w:id="142"/>
    <w:bookmarkEnd w:id="143"/>
    <w:bookmarkEnd w:id="144"/>
    <w:p w14:paraId="6B01D14C">
      <w:pPr>
        <w:pStyle w:val="88"/>
        <w:numPr>
          <w:ilvl w:val="1"/>
          <w:numId w:val="20"/>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投标人在递交投标文件后，可以修改或撤回其投标文件，但必须在规定的投标截止期之前书面通知采购人。</w:t>
      </w:r>
    </w:p>
    <w:p w14:paraId="296CB2FB">
      <w:pPr>
        <w:pStyle w:val="88"/>
        <w:numPr>
          <w:ilvl w:val="1"/>
          <w:numId w:val="20"/>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投标人的修改或撤回通知书应按本通用条款第21.1款规定编制、密封、标记和发送，并应在封套上加注“修改”或“撤回”字样。</w:t>
      </w:r>
    </w:p>
    <w:p w14:paraId="681997DE">
      <w:pPr>
        <w:pStyle w:val="88"/>
        <w:numPr>
          <w:ilvl w:val="1"/>
          <w:numId w:val="20"/>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在投标截止期之后，投标人不得对其投标文件做任何修改。</w:t>
      </w:r>
    </w:p>
    <w:p w14:paraId="7D2B6888">
      <w:pPr>
        <w:pStyle w:val="88"/>
        <w:numPr>
          <w:ilvl w:val="1"/>
          <w:numId w:val="20"/>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在本通用条款第21.2款规定的投标截止期至本通用条款第17条规定的投标有效期期满之间的这段时间内，投标人不得撤回其投标，否则根据本通用条款第18.7款规定，其投标保证金将被没收。</w:t>
      </w:r>
    </w:p>
    <w:p w14:paraId="26F8B808">
      <w:pPr>
        <w:rPr>
          <w:rFonts w:asciiTheme="minorEastAsia" w:hAnsiTheme="minorEastAsia" w:eastAsiaTheme="minorEastAsia"/>
          <w:szCs w:val="21"/>
        </w:rPr>
      </w:pPr>
      <w:r>
        <w:rPr>
          <w:rFonts w:hint="eastAsia" w:asciiTheme="minorEastAsia" w:hAnsiTheme="minorEastAsia" w:eastAsiaTheme="minorEastAsia"/>
          <w:szCs w:val="21"/>
        </w:rPr>
        <w:br w:type="page"/>
      </w:r>
    </w:p>
    <w:p w14:paraId="0F7352BE">
      <w:pPr>
        <w:pStyle w:val="3"/>
        <w:spacing w:line="360" w:lineRule="auto"/>
        <w:jc w:val="center"/>
        <w:rPr>
          <w:rFonts w:asciiTheme="minorEastAsia" w:hAnsiTheme="minorEastAsia" w:eastAsiaTheme="minorEastAsia"/>
          <w:sz w:val="21"/>
          <w:szCs w:val="21"/>
        </w:rPr>
      </w:pPr>
      <w:bookmarkStart w:id="145" w:name="_Toc73521662"/>
      <w:bookmarkStart w:id="146" w:name="_Toc73517666"/>
      <w:bookmarkStart w:id="147" w:name="_Toc663555618"/>
      <w:bookmarkStart w:id="148" w:name="_Toc73518144"/>
      <w:bookmarkStart w:id="149" w:name="_Toc100052391"/>
      <w:bookmarkStart w:id="150" w:name="_Toc73521574"/>
      <w:bookmarkStart w:id="151" w:name="_Toc101074881"/>
      <w:r>
        <w:rPr>
          <w:rFonts w:hint="eastAsia" w:asciiTheme="minorEastAsia" w:hAnsiTheme="minorEastAsia" w:eastAsiaTheme="minorEastAsia"/>
          <w:sz w:val="21"/>
          <w:szCs w:val="21"/>
        </w:rPr>
        <w:t>第五章  开标</w:t>
      </w:r>
      <w:bookmarkEnd w:id="145"/>
      <w:bookmarkEnd w:id="146"/>
      <w:bookmarkEnd w:id="147"/>
      <w:bookmarkEnd w:id="148"/>
      <w:bookmarkEnd w:id="149"/>
      <w:bookmarkEnd w:id="150"/>
      <w:bookmarkEnd w:id="151"/>
    </w:p>
    <w:p w14:paraId="153C1F74">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152" w:name="_Toc73518145"/>
      <w:bookmarkStart w:id="153" w:name="_Toc60631650"/>
      <w:bookmarkStart w:id="154" w:name="_Toc73521575"/>
      <w:bookmarkStart w:id="155" w:name="_Toc73521663"/>
      <w:bookmarkStart w:id="156" w:name="_Toc73517667"/>
      <w:bookmarkStart w:id="157" w:name="_Toc100052392"/>
      <w:bookmarkStart w:id="158" w:name="_Toc60560655"/>
      <w:r>
        <w:rPr>
          <w:rFonts w:hint="eastAsia" w:asciiTheme="minorEastAsia" w:hAnsiTheme="minorEastAsia" w:eastAsiaTheme="minorEastAsia"/>
          <w:b/>
          <w:szCs w:val="21"/>
        </w:rPr>
        <w:t>开标</w:t>
      </w:r>
      <w:bookmarkEnd w:id="152"/>
      <w:bookmarkEnd w:id="153"/>
      <w:bookmarkEnd w:id="154"/>
      <w:bookmarkEnd w:id="155"/>
      <w:bookmarkEnd w:id="156"/>
      <w:bookmarkEnd w:id="157"/>
      <w:bookmarkEnd w:id="158"/>
    </w:p>
    <w:p w14:paraId="7FDA2D03">
      <w:pPr>
        <w:pStyle w:val="88"/>
        <w:numPr>
          <w:ilvl w:val="1"/>
          <w:numId w:val="21"/>
        </w:numPr>
        <w:snapToGrid w:val="0"/>
        <w:spacing w:line="360" w:lineRule="auto"/>
        <w:ind w:firstLineChars="0"/>
        <w:rPr>
          <w:rFonts w:asciiTheme="minorEastAsia" w:hAnsiTheme="minorEastAsia" w:eastAsiaTheme="minorEastAsia"/>
          <w:szCs w:val="21"/>
        </w:rPr>
      </w:pPr>
      <w:bookmarkStart w:id="159" w:name="bt评标"/>
      <w:bookmarkEnd w:id="159"/>
      <w:bookmarkStart w:id="160" w:name="_Toc73521664"/>
      <w:bookmarkStart w:id="161" w:name="_Toc73517668"/>
      <w:bookmarkStart w:id="162" w:name="_Toc73521576"/>
      <w:bookmarkStart w:id="163" w:name="_Toc73518146"/>
      <w:bookmarkStart w:id="164" w:name="_Toc100052393"/>
      <w:bookmarkStart w:id="165" w:name="_Toc101074882"/>
      <w:r>
        <w:rPr>
          <w:rFonts w:hint="eastAsia" w:asciiTheme="minorEastAsia" w:hAnsiTheme="minorEastAsia" w:eastAsiaTheme="minorEastAsia"/>
          <w:szCs w:val="21"/>
        </w:rPr>
        <w:t>采购人将按“招标公告”规定的时间和地点组织公开开标。</w:t>
      </w:r>
    </w:p>
    <w:p w14:paraId="79567556">
      <w:pPr>
        <w:pStyle w:val="88"/>
        <w:numPr>
          <w:ilvl w:val="1"/>
          <w:numId w:val="21"/>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开标时，采购人将当众宣读投标人名称、修改和撤回投标的通知、开标一览表（以招标文件规定的开标一览表内容为准）。投标文件中开标一览表内容与投标报价明细表内容不一致的，以开标一览表为准。</w:t>
      </w:r>
    </w:p>
    <w:p w14:paraId="3F97E5F7">
      <w:pPr>
        <w:pStyle w:val="88"/>
        <w:numPr>
          <w:ilvl w:val="1"/>
          <w:numId w:val="21"/>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除了按照本通用条款第21条规定原封退回的投标之外，开标时将不得拒绝任何投标文件。</w:t>
      </w:r>
    </w:p>
    <w:p w14:paraId="29620501">
      <w:pPr>
        <w:pStyle w:val="88"/>
        <w:numPr>
          <w:ilvl w:val="1"/>
          <w:numId w:val="21"/>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按照本通用条款第22条规定，提交了可接受的“撤回”通知的投标将不予开封。</w:t>
      </w:r>
    </w:p>
    <w:p w14:paraId="0D3C3F37">
      <w:pPr>
        <w:pStyle w:val="88"/>
        <w:numPr>
          <w:ilvl w:val="1"/>
          <w:numId w:val="21"/>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无论如何在开标时没有启封和读出的投标文件在评标时将不予考虑。撤回的投标文件将原封退回投标人。</w:t>
      </w:r>
      <w:r>
        <w:rPr>
          <w:rFonts w:hint="eastAsia" w:asciiTheme="minorEastAsia" w:hAnsiTheme="minorEastAsia" w:eastAsiaTheme="minorEastAsia"/>
          <w:szCs w:val="21"/>
        </w:rPr>
        <w:br w:type="page"/>
      </w:r>
    </w:p>
    <w:p w14:paraId="284F26C1">
      <w:pPr>
        <w:pStyle w:val="3"/>
        <w:spacing w:line="360" w:lineRule="auto"/>
        <w:jc w:val="center"/>
        <w:rPr>
          <w:rFonts w:asciiTheme="minorEastAsia" w:hAnsiTheme="minorEastAsia" w:eastAsiaTheme="minorEastAsia"/>
          <w:sz w:val="21"/>
          <w:szCs w:val="21"/>
        </w:rPr>
      </w:pPr>
      <w:bookmarkStart w:id="166" w:name="_Toc330952918"/>
      <w:r>
        <w:rPr>
          <w:rFonts w:hint="eastAsia" w:asciiTheme="minorEastAsia" w:hAnsiTheme="minorEastAsia" w:eastAsiaTheme="minorEastAsia"/>
          <w:sz w:val="21"/>
          <w:szCs w:val="21"/>
        </w:rPr>
        <w:t xml:space="preserve">第六章  </w:t>
      </w:r>
      <w:bookmarkEnd w:id="160"/>
      <w:bookmarkEnd w:id="161"/>
      <w:bookmarkEnd w:id="162"/>
      <w:bookmarkEnd w:id="163"/>
      <w:r>
        <w:rPr>
          <w:rFonts w:hint="eastAsia" w:asciiTheme="minorEastAsia" w:hAnsiTheme="minorEastAsia" w:eastAsiaTheme="minorEastAsia"/>
          <w:sz w:val="21"/>
          <w:szCs w:val="21"/>
        </w:rPr>
        <w:t>评标</w:t>
      </w:r>
      <w:bookmarkEnd w:id="164"/>
      <w:bookmarkEnd w:id="165"/>
      <w:bookmarkEnd w:id="166"/>
    </w:p>
    <w:p w14:paraId="70D1F5FD">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167" w:name="bt评标会议"/>
      <w:bookmarkEnd w:id="167"/>
      <w:bookmarkStart w:id="168" w:name="_Toc73521665"/>
      <w:bookmarkStart w:id="169" w:name="_Toc73521577"/>
      <w:bookmarkStart w:id="170" w:name="_Toc73517669"/>
      <w:bookmarkStart w:id="171" w:name="_Toc100052394"/>
      <w:bookmarkStart w:id="172" w:name="_Toc73518147"/>
      <w:r>
        <w:rPr>
          <w:rFonts w:hint="eastAsia" w:asciiTheme="minorEastAsia" w:hAnsiTheme="minorEastAsia" w:eastAsiaTheme="minorEastAsia"/>
          <w:b/>
          <w:szCs w:val="21"/>
          <w:lang w:eastAsia="zh-CN"/>
        </w:rPr>
        <w:t>中心招标小组</w:t>
      </w:r>
      <w:r>
        <w:rPr>
          <w:rFonts w:hint="eastAsia" w:asciiTheme="minorEastAsia" w:hAnsiTheme="minorEastAsia" w:eastAsiaTheme="minorEastAsia"/>
          <w:b/>
          <w:szCs w:val="21"/>
        </w:rPr>
        <w:t>会议</w:t>
      </w:r>
    </w:p>
    <w:p w14:paraId="22BF7234">
      <w:pPr>
        <w:pStyle w:val="88"/>
        <w:numPr>
          <w:ilvl w:val="1"/>
          <w:numId w:val="22"/>
        </w:numPr>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由</w:t>
      </w:r>
      <w:r>
        <w:rPr>
          <w:rFonts w:hint="default" w:asciiTheme="minorEastAsia" w:hAnsiTheme="minorEastAsia" w:eastAsiaTheme="minorEastAsia"/>
          <w:szCs w:val="21"/>
          <w:lang w:val="en"/>
        </w:rPr>
        <w:t>中心招标小组</w:t>
      </w:r>
      <w:r>
        <w:rPr>
          <w:rFonts w:hint="eastAsia" w:asciiTheme="minorEastAsia" w:hAnsiTheme="minorEastAsia" w:eastAsiaTheme="minorEastAsia"/>
          <w:szCs w:val="21"/>
        </w:rPr>
        <w:t>负责对投标文件进行评审。</w:t>
      </w:r>
    </w:p>
    <w:p w14:paraId="68493125">
      <w:pPr>
        <w:pStyle w:val="88"/>
        <w:numPr>
          <w:ilvl w:val="1"/>
          <w:numId w:val="22"/>
        </w:numPr>
        <w:spacing w:line="360" w:lineRule="auto"/>
        <w:ind w:firstLineChars="0"/>
        <w:rPr>
          <w:rFonts w:asciiTheme="minorEastAsia" w:hAnsiTheme="minorEastAsia" w:eastAsiaTheme="minorEastAsia"/>
          <w:szCs w:val="21"/>
        </w:rPr>
      </w:pPr>
      <w:r>
        <w:rPr>
          <w:rFonts w:hint="default" w:asciiTheme="minorEastAsia" w:hAnsiTheme="minorEastAsia" w:eastAsiaTheme="minorEastAsia"/>
          <w:szCs w:val="21"/>
          <w:lang w:val="en"/>
        </w:rPr>
        <w:t>中心招标小组</w:t>
      </w:r>
      <w:r>
        <w:rPr>
          <w:rFonts w:hint="eastAsia" w:asciiTheme="minorEastAsia" w:hAnsiTheme="minorEastAsia" w:eastAsiaTheme="minorEastAsia"/>
          <w:szCs w:val="21"/>
        </w:rPr>
        <w:t>由采购单位自行组建。</w:t>
      </w:r>
    </w:p>
    <w:p w14:paraId="31DF5E09">
      <w:pPr>
        <w:pStyle w:val="88"/>
        <w:numPr>
          <w:ilvl w:val="1"/>
          <w:numId w:val="22"/>
        </w:numPr>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评标、定标应当遵循公平、公正、科学、择优的原则。</w:t>
      </w:r>
    </w:p>
    <w:p w14:paraId="66FD7339">
      <w:pPr>
        <w:pStyle w:val="88"/>
        <w:numPr>
          <w:ilvl w:val="1"/>
          <w:numId w:val="22"/>
        </w:numPr>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评审活动依法进行，任何单位和个人不得非法干预评审过程和结果。</w:t>
      </w:r>
    </w:p>
    <w:p w14:paraId="192C5952">
      <w:pPr>
        <w:pStyle w:val="88"/>
        <w:numPr>
          <w:ilvl w:val="1"/>
          <w:numId w:val="22"/>
        </w:numPr>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评审过程中不允许违背评审程序或采用招标文件未载明的评标方法或评审因素进行评标。</w:t>
      </w:r>
    </w:p>
    <w:p w14:paraId="4DFF5E55">
      <w:pPr>
        <w:pStyle w:val="88"/>
        <w:numPr>
          <w:ilvl w:val="1"/>
          <w:numId w:val="22"/>
        </w:numPr>
        <w:spacing w:line="360" w:lineRule="auto"/>
        <w:ind w:firstLineChars="0"/>
        <w:rPr>
          <w:rFonts w:asciiTheme="minorEastAsia" w:hAnsiTheme="minorEastAsia" w:eastAsiaTheme="minorEastAsia"/>
          <w:szCs w:val="21"/>
        </w:rPr>
      </w:pPr>
      <w:r>
        <w:rPr>
          <w:rFonts w:hint="default" w:asciiTheme="minorEastAsia" w:hAnsiTheme="minorEastAsia" w:eastAsiaTheme="minorEastAsia"/>
          <w:szCs w:val="21"/>
          <w:lang w:val="en"/>
        </w:rPr>
        <w:t>中心招标小组</w:t>
      </w:r>
      <w:r>
        <w:rPr>
          <w:rFonts w:hint="eastAsia" w:asciiTheme="minorEastAsia" w:hAnsiTheme="minorEastAsia" w:eastAsiaTheme="minorEastAsia"/>
          <w:szCs w:val="21"/>
        </w:rPr>
        <w:t>成员对需要共同认定的事项存在争议的，应当按照少数服从多数的原则作出结论。持不同意见的</w:t>
      </w:r>
      <w:r>
        <w:rPr>
          <w:rFonts w:hint="default" w:asciiTheme="minorEastAsia" w:hAnsiTheme="minorEastAsia" w:eastAsiaTheme="minorEastAsia"/>
          <w:szCs w:val="21"/>
          <w:lang w:val="en"/>
        </w:rPr>
        <w:t>中心招标小组</w:t>
      </w:r>
      <w:r>
        <w:rPr>
          <w:rFonts w:hint="eastAsia" w:asciiTheme="minorEastAsia" w:hAnsiTheme="minorEastAsia" w:eastAsiaTheme="minorEastAsia"/>
          <w:szCs w:val="21"/>
        </w:rPr>
        <w:t>成员应当在评标</w:t>
      </w:r>
      <w:r>
        <w:rPr>
          <w:rFonts w:hint="eastAsia" w:asciiTheme="minorEastAsia" w:hAnsiTheme="minorEastAsia" w:eastAsiaTheme="minorEastAsia"/>
          <w:szCs w:val="21"/>
          <w:lang w:eastAsia="zh-CN"/>
        </w:rPr>
        <w:t>结果</w:t>
      </w:r>
      <w:r>
        <w:rPr>
          <w:rFonts w:hint="eastAsia" w:asciiTheme="minorEastAsia" w:hAnsiTheme="minorEastAsia" w:eastAsiaTheme="minorEastAsia"/>
          <w:szCs w:val="21"/>
        </w:rPr>
        <w:t>上签署不同意见及理由，否则视为同意评标</w:t>
      </w:r>
      <w:r>
        <w:rPr>
          <w:rFonts w:hint="eastAsia" w:asciiTheme="minorEastAsia" w:hAnsiTheme="minorEastAsia" w:eastAsiaTheme="minorEastAsia"/>
          <w:szCs w:val="21"/>
          <w:lang w:eastAsia="zh-CN"/>
        </w:rPr>
        <w:t>结果</w:t>
      </w:r>
      <w:r>
        <w:rPr>
          <w:rFonts w:hint="eastAsia" w:asciiTheme="minorEastAsia" w:hAnsiTheme="minorEastAsia" w:eastAsiaTheme="minorEastAsia"/>
          <w:szCs w:val="21"/>
        </w:rPr>
        <w:t>。</w:t>
      </w:r>
    </w:p>
    <w:p w14:paraId="192710F0">
      <w:pPr>
        <w:pStyle w:val="88"/>
        <w:numPr>
          <w:ilvl w:val="1"/>
          <w:numId w:val="22"/>
        </w:numPr>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开标后，直到授予中标供应商合同为止，凡属于对投标文件的审查、澄清、评价和比较的有关资料以及中标供应商的确定情况、与评标、定标有关的其他任何情况均严格保密。</w:t>
      </w:r>
    </w:p>
    <w:p w14:paraId="5B71AD9C">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r>
        <w:rPr>
          <w:rFonts w:hint="eastAsia" w:asciiTheme="minorEastAsia" w:hAnsiTheme="minorEastAsia" w:eastAsiaTheme="minorEastAsia"/>
          <w:b/>
          <w:szCs w:val="21"/>
        </w:rPr>
        <w:t>向</w:t>
      </w:r>
      <w:r>
        <w:rPr>
          <w:rFonts w:hint="eastAsia" w:asciiTheme="minorEastAsia" w:hAnsiTheme="minorEastAsia" w:eastAsiaTheme="minorEastAsia"/>
          <w:b/>
          <w:szCs w:val="21"/>
          <w:lang w:eastAsia="zh-CN"/>
        </w:rPr>
        <w:t>中心招标小组</w:t>
      </w:r>
      <w:r>
        <w:rPr>
          <w:rFonts w:hint="eastAsia" w:asciiTheme="minorEastAsia" w:hAnsiTheme="minorEastAsia" w:eastAsiaTheme="minorEastAsia"/>
          <w:b/>
          <w:szCs w:val="21"/>
        </w:rPr>
        <w:t>提供的资料</w:t>
      </w:r>
    </w:p>
    <w:p w14:paraId="3FE60B59">
      <w:pPr>
        <w:pStyle w:val="88"/>
        <w:numPr>
          <w:ilvl w:val="1"/>
          <w:numId w:val="23"/>
        </w:numPr>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公开发布的招标文件，包括图纸、服务清单、答疑文件等。</w:t>
      </w:r>
    </w:p>
    <w:p w14:paraId="2E1FCA96">
      <w:pPr>
        <w:pStyle w:val="88"/>
        <w:numPr>
          <w:ilvl w:val="1"/>
          <w:numId w:val="23"/>
        </w:numPr>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其他评标必须的资料。</w:t>
      </w:r>
    </w:p>
    <w:p w14:paraId="3999B766">
      <w:pPr>
        <w:pStyle w:val="88"/>
        <w:numPr>
          <w:ilvl w:val="1"/>
          <w:numId w:val="23"/>
        </w:numPr>
        <w:spacing w:line="360" w:lineRule="auto"/>
        <w:ind w:firstLineChars="0"/>
        <w:rPr>
          <w:rFonts w:asciiTheme="minorEastAsia" w:hAnsiTheme="minorEastAsia" w:eastAsiaTheme="minorEastAsia"/>
          <w:szCs w:val="21"/>
        </w:rPr>
      </w:pPr>
      <w:r>
        <w:rPr>
          <w:rFonts w:hint="default" w:asciiTheme="minorEastAsia" w:hAnsiTheme="minorEastAsia" w:eastAsiaTheme="minorEastAsia"/>
          <w:szCs w:val="21"/>
          <w:lang w:val="en"/>
        </w:rPr>
        <w:t>中心招标小组</w:t>
      </w:r>
      <w:r>
        <w:rPr>
          <w:rFonts w:hint="eastAsia" w:asciiTheme="minorEastAsia" w:hAnsiTheme="minorEastAsia" w:eastAsiaTheme="minorEastAsia"/>
          <w:szCs w:val="21"/>
        </w:rPr>
        <w:t>应当认真研究招标文件，至少应了解熟悉以下内容：</w:t>
      </w:r>
    </w:p>
    <w:p w14:paraId="4FC8D343">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（1）招标的目的；</w:t>
      </w:r>
    </w:p>
    <w:p w14:paraId="4E687397">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（2）招标项目需求的范围和性质；</w:t>
      </w:r>
    </w:p>
    <w:p w14:paraId="08FE3C85">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（3）招标文件规定的投标人的资质、财政预算限额、商务条款；</w:t>
      </w:r>
    </w:p>
    <w:p w14:paraId="68FA4120">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（4）招标文件规定的评审程序、评标方法和评审因素；</w:t>
      </w:r>
    </w:p>
    <w:p w14:paraId="7CC29B3C">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（5）招标文件所列示的废标条件；</w:t>
      </w:r>
    </w:p>
    <w:p w14:paraId="268640CD">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r>
        <w:rPr>
          <w:rFonts w:hint="eastAsia" w:asciiTheme="minorEastAsia" w:hAnsiTheme="minorEastAsia" w:eastAsiaTheme="minorEastAsia"/>
          <w:b/>
          <w:szCs w:val="21"/>
        </w:rPr>
        <w:t>独立评审</w:t>
      </w:r>
    </w:p>
    <w:p w14:paraId="4738F015">
      <w:pPr>
        <w:snapToGrid w:val="0"/>
        <w:spacing w:line="360" w:lineRule="auto"/>
        <w:ind w:firstLine="420" w:firstLineChars="200"/>
        <w:rPr>
          <w:rFonts w:hint="eastAsia" w:asciiTheme="minorEastAsia" w:hAnsiTheme="minorEastAsia" w:eastAsiaTheme="minorEastAsia"/>
          <w:bCs/>
          <w:szCs w:val="21"/>
        </w:rPr>
      </w:pPr>
      <w:r>
        <w:rPr>
          <w:rFonts w:hint="default" w:asciiTheme="minorEastAsia" w:hAnsiTheme="minorEastAsia" w:eastAsiaTheme="minorEastAsia"/>
          <w:szCs w:val="21"/>
          <w:lang w:val="en"/>
        </w:rPr>
        <w:t>中心招标小组</w:t>
      </w:r>
      <w:r>
        <w:rPr>
          <w:rFonts w:hint="eastAsia" w:asciiTheme="minorEastAsia" w:hAnsiTheme="minorEastAsia" w:eastAsiaTheme="minorEastAsia"/>
          <w:szCs w:val="21"/>
        </w:rPr>
        <w:t>成员的评审活动应当独立进行，并应遵循投标文件初审、澄清有关问题、比较与评价、确定中标供应商的工作程序</w:t>
      </w:r>
      <w:r>
        <w:rPr>
          <w:rFonts w:hint="eastAsia" w:asciiTheme="minorEastAsia" w:hAnsiTheme="minorEastAsia" w:eastAsiaTheme="minorEastAsia"/>
          <w:bCs/>
          <w:szCs w:val="21"/>
        </w:rPr>
        <w:t>。</w:t>
      </w:r>
      <w:bookmarkEnd w:id="168"/>
      <w:bookmarkEnd w:id="169"/>
      <w:bookmarkEnd w:id="170"/>
      <w:bookmarkEnd w:id="171"/>
      <w:bookmarkEnd w:id="172"/>
      <w:bookmarkStart w:id="173" w:name="bt评标过程的保密"/>
      <w:bookmarkEnd w:id="173"/>
      <w:bookmarkStart w:id="174" w:name="bt错误的修正"/>
      <w:bookmarkEnd w:id="174"/>
    </w:p>
    <w:p w14:paraId="6698E028">
      <w:r>
        <w:rPr>
          <w:rFonts w:hint="eastAsia" w:asciiTheme="minorEastAsia" w:hAnsiTheme="minorEastAsia" w:eastAsiaTheme="minorEastAsia"/>
          <w:bCs/>
          <w:szCs w:val="21"/>
        </w:rPr>
        <w:br w:type="page"/>
      </w:r>
    </w:p>
    <w:p w14:paraId="4175ECF1">
      <w:pPr>
        <w:pStyle w:val="3"/>
        <w:spacing w:line="360" w:lineRule="auto"/>
        <w:jc w:val="center"/>
        <w:rPr>
          <w:rFonts w:asciiTheme="minorEastAsia" w:hAnsiTheme="minorEastAsia" w:eastAsiaTheme="minorEastAsia"/>
          <w:sz w:val="21"/>
          <w:szCs w:val="21"/>
        </w:rPr>
      </w:pPr>
      <w:bookmarkStart w:id="175" w:name="_Toc984672176"/>
      <w:bookmarkStart w:id="176" w:name="_Toc100052397"/>
      <w:bookmarkStart w:id="177" w:name="_Toc101074883"/>
      <w:r>
        <w:rPr>
          <w:rFonts w:hint="eastAsia" w:asciiTheme="minorEastAsia" w:hAnsiTheme="minorEastAsia" w:eastAsiaTheme="minorEastAsia"/>
          <w:sz w:val="21"/>
          <w:szCs w:val="21"/>
        </w:rPr>
        <w:t>第七章  评审程序</w:t>
      </w:r>
      <w:bookmarkStart w:id="178" w:name="bt投标文件的审查"/>
      <w:bookmarkEnd w:id="178"/>
      <w:bookmarkStart w:id="179" w:name="_Toc73517671"/>
      <w:bookmarkStart w:id="180" w:name="_Toc73521579"/>
      <w:bookmarkStart w:id="181" w:name="_Toc73518149"/>
      <w:bookmarkStart w:id="182" w:name="_Toc73521667"/>
      <w:r>
        <w:rPr>
          <w:rFonts w:hint="eastAsia" w:asciiTheme="minorEastAsia" w:hAnsiTheme="minorEastAsia" w:eastAsiaTheme="minorEastAsia"/>
          <w:sz w:val="21"/>
          <w:szCs w:val="21"/>
        </w:rPr>
        <w:t>及评标方法</w:t>
      </w:r>
      <w:bookmarkEnd w:id="175"/>
      <w:bookmarkEnd w:id="176"/>
      <w:bookmarkEnd w:id="177"/>
    </w:p>
    <w:p w14:paraId="7D9B5DE8">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183" w:name="_Toc100052398"/>
      <w:r>
        <w:rPr>
          <w:rFonts w:hint="eastAsia" w:asciiTheme="minorEastAsia" w:hAnsiTheme="minorEastAsia" w:eastAsiaTheme="minorEastAsia"/>
          <w:b/>
          <w:szCs w:val="21"/>
        </w:rPr>
        <w:t>投标文件初审</w:t>
      </w:r>
      <w:bookmarkEnd w:id="183"/>
    </w:p>
    <w:p w14:paraId="0F60DE7D">
      <w:pPr>
        <w:pStyle w:val="88"/>
        <w:numPr>
          <w:ilvl w:val="1"/>
          <w:numId w:val="24"/>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资格性检查：依据法律法规和招标文件的规定，对投标文件中的资格证明、投标保证金等进行审查，以确定投标供应商是否具备投标资格。</w:t>
      </w:r>
    </w:p>
    <w:p w14:paraId="4D0E71A1">
      <w:pPr>
        <w:pStyle w:val="88"/>
        <w:numPr>
          <w:ilvl w:val="1"/>
          <w:numId w:val="24"/>
        </w:numPr>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投标文件初审内容请详见招标文件第二册第二章《投标文件初审表》部分。投标人若有一条审查不通过则按废标处理。</w:t>
      </w:r>
    </w:p>
    <w:p w14:paraId="43C79CC9">
      <w:pPr>
        <w:pStyle w:val="88"/>
        <w:numPr>
          <w:ilvl w:val="1"/>
          <w:numId w:val="24"/>
        </w:numPr>
        <w:snapToGrid w:val="0"/>
        <w:spacing w:line="360" w:lineRule="auto"/>
        <w:ind w:firstLineChars="0"/>
        <w:rPr>
          <w:rFonts w:asciiTheme="minorEastAsia" w:hAnsiTheme="minorEastAsia" w:eastAsiaTheme="minorEastAsia"/>
          <w:b/>
          <w:bCs/>
          <w:szCs w:val="21"/>
        </w:rPr>
      </w:pPr>
      <w:r>
        <w:rPr>
          <w:rFonts w:hint="eastAsia" w:asciiTheme="minorEastAsia" w:hAnsiTheme="minorEastAsia" w:eastAsiaTheme="minorEastAsia"/>
          <w:szCs w:val="21"/>
        </w:rPr>
        <w:t>对不属于投标文件初审表所列的其他情形，除法律法规另有规定外，不得作为废标的理由。</w:t>
      </w:r>
      <w:bookmarkEnd w:id="179"/>
      <w:bookmarkEnd w:id="180"/>
      <w:bookmarkEnd w:id="181"/>
      <w:bookmarkEnd w:id="182"/>
    </w:p>
    <w:p w14:paraId="51D52BA9">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184" w:name="_Toc100052399"/>
      <w:r>
        <w:rPr>
          <w:rFonts w:hint="eastAsia" w:asciiTheme="minorEastAsia" w:hAnsiTheme="minorEastAsia" w:eastAsiaTheme="minorEastAsia"/>
          <w:b/>
          <w:szCs w:val="21"/>
        </w:rPr>
        <w:t>澄清有关问题</w:t>
      </w:r>
      <w:bookmarkEnd w:id="184"/>
    </w:p>
    <w:p w14:paraId="2F3C97A7">
      <w:pPr>
        <w:snapToGrid w:val="0"/>
        <w:spacing w:line="360" w:lineRule="auto"/>
        <w:ind w:firstLine="411" w:firstLineChars="196"/>
        <w:rPr>
          <w:rFonts w:asciiTheme="minorEastAsia" w:hAnsiTheme="minorEastAsia" w:eastAsiaTheme="minorEastAsia"/>
          <w:szCs w:val="21"/>
        </w:rPr>
      </w:pPr>
      <w:bookmarkStart w:id="185" w:name="bt投标文件的澄清"/>
      <w:bookmarkEnd w:id="185"/>
      <w:bookmarkStart w:id="186" w:name="bt投标文件的评估和比较"/>
      <w:bookmarkEnd w:id="186"/>
      <w:bookmarkStart w:id="187" w:name="bt废标"/>
      <w:bookmarkEnd w:id="187"/>
      <w:bookmarkStart w:id="188" w:name="_Toc73521671"/>
      <w:bookmarkStart w:id="189" w:name="_Toc73518153"/>
      <w:bookmarkStart w:id="190" w:name="_Toc73521583"/>
      <w:bookmarkStart w:id="191" w:name="_Toc73517675"/>
      <w:r>
        <w:rPr>
          <w:rFonts w:hint="eastAsia" w:asciiTheme="minorEastAsia" w:hAnsiTheme="minorEastAsia" w:eastAsiaTheme="minorEastAsia"/>
          <w:szCs w:val="21"/>
        </w:rPr>
        <w:t>为了有助于投标文件的审查、评价和比较，对投标文件含义不明确、同类问题表述不一致或者有明显文字和计算错误的内容，中心招标小组可以用书面形式(应当由中心招标小组全体成员签字)要求投标供应商作出必要的澄清、说明或者纠正。投标人的澄清、说明或者补正应当用采用书面形式（由其</w:t>
      </w:r>
      <w:r>
        <w:rPr>
          <w:rFonts w:hint="eastAsia" w:asciiTheme="minorEastAsia" w:hAnsiTheme="minorEastAsia" w:eastAsiaTheme="minorEastAsia"/>
          <w:szCs w:val="21"/>
          <w:lang w:eastAsia="zh-CN"/>
        </w:rPr>
        <w:t>授</w:t>
      </w:r>
      <w:r>
        <w:rPr>
          <w:rFonts w:hint="eastAsia" w:asciiTheme="minorEastAsia" w:hAnsiTheme="minorEastAsia" w:eastAsiaTheme="minorEastAsia"/>
          <w:szCs w:val="21"/>
        </w:rPr>
        <w:t>权的代表签字），并不得超出投标文件的范围或者改变投标文件的实质性的内容。根据本通用条款第29条，凡属于中心招标小组在评审中发现的算术错误进行核实的修改不在此列。</w:t>
      </w:r>
    </w:p>
    <w:p w14:paraId="1654B662">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192" w:name="_Toc100052401"/>
      <w:r>
        <w:rPr>
          <w:rFonts w:hint="eastAsia" w:asciiTheme="minorEastAsia" w:hAnsiTheme="minorEastAsia" w:eastAsiaTheme="minorEastAsia"/>
          <w:b/>
          <w:szCs w:val="21"/>
        </w:rPr>
        <w:t>投标文件的</w:t>
      </w:r>
      <w:bookmarkEnd w:id="188"/>
      <w:bookmarkEnd w:id="189"/>
      <w:bookmarkEnd w:id="190"/>
      <w:bookmarkEnd w:id="191"/>
      <w:r>
        <w:rPr>
          <w:rFonts w:hint="eastAsia" w:asciiTheme="minorEastAsia" w:hAnsiTheme="minorEastAsia" w:eastAsiaTheme="minorEastAsia"/>
          <w:b/>
          <w:szCs w:val="21"/>
        </w:rPr>
        <w:t>比较与评价</w:t>
      </w:r>
      <w:bookmarkEnd w:id="192"/>
    </w:p>
    <w:p w14:paraId="5193C961">
      <w:pPr>
        <w:snapToGrid w:val="0"/>
        <w:spacing w:line="360" w:lineRule="auto"/>
        <w:ind w:firstLine="411" w:firstLineChars="196"/>
        <w:rPr>
          <w:rFonts w:asciiTheme="minorEastAsia" w:hAnsiTheme="minorEastAsia" w:eastAsiaTheme="minorEastAsia"/>
          <w:szCs w:val="21"/>
        </w:rPr>
      </w:pPr>
      <w:r>
        <w:rPr>
          <w:rFonts w:hint="eastAsia" w:asciiTheme="minorEastAsia" w:hAnsiTheme="minorEastAsia" w:eastAsiaTheme="minorEastAsia"/>
          <w:szCs w:val="21"/>
        </w:rPr>
        <w:t>中心招标小组按招标文件中规定的评标方法和标准，对资格性检查和符合性检查合格且报价不超过预算控制金额的投标文件进行商务和技术评审，综合比较与评价。</w:t>
      </w:r>
    </w:p>
    <w:p w14:paraId="0389F64C">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bookmarkStart w:id="193" w:name="_Toc100052402"/>
      <w:r>
        <w:rPr>
          <w:rFonts w:hint="eastAsia" w:asciiTheme="minorEastAsia" w:hAnsiTheme="minorEastAsia" w:eastAsiaTheme="minorEastAsia"/>
          <w:b/>
          <w:szCs w:val="21"/>
        </w:rPr>
        <w:t>评标方法</w:t>
      </w:r>
      <w:bookmarkEnd w:id="193"/>
    </w:p>
    <w:p w14:paraId="3E24FF24">
      <w:pPr>
        <w:snapToGrid w:val="0"/>
        <w:spacing w:line="360" w:lineRule="auto"/>
        <w:ind w:firstLine="411" w:firstLineChars="196"/>
        <w:rPr>
          <w:rFonts w:asciiTheme="minorEastAsia" w:hAnsiTheme="minorEastAsia" w:eastAsiaTheme="minorEastAsia"/>
          <w:szCs w:val="21"/>
        </w:rPr>
      </w:pPr>
      <w:r>
        <w:rPr>
          <w:rFonts w:hint="eastAsia" w:asciiTheme="minorEastAsia" w:hAnsiTheme="minorEastAsia" w:eastAsiaTheme="minorEastAsia"/>
          <w:szCs w:val="21"/>
        </w:rPr>
        <w:t>本项目采用的评标方法详见第二册第二章《评标信息》。</w:t>
      </w:r>
    </w:p>
    <w:p w14:paraId="522ECC0D">
      <w:pPr>
        <w:pStyle w:val="88"/>
        <w:numPr>
          <w:ilvl w:val="0"/>
          <w:numId w:val="7"/>
        </w:numPr>
        <w:snapToGrid w:val="0"/>
        <w:spacing w:line="360" w:lineRule="auto"/>
        <w:ind w:left="425" w:leftChars="0" w:hanging="425" w:firstLineChars="0"/>
        <w:rPr>
          <w:rFonts w:asciiTheme="minorEastAsia" w:hAnsiTheme="minorEastAsia" w:eastAsiaTheme="minorEastAsia"/>
          <w:b/>
          <w:szCs w:val="21"/>
        </w:rPr>
      </w:pPr>
      <w:r>
        <w:rPr>
          <w:rFonts w:hint="eastAsia" w:asciiTheme="minorEastAsia" w:hAnsiTheme="minorEastAsia" w:eastAsiaTheme="minorEastAsia"/>
          <w:b/>
          <w:szCs w:val="21"/>
        </w:rPr>
        <w:t>定标</w:t>
      </w:r>
    </w:p>
    <w:p w14:paraId="4B40045C">
      <w:pPr>
        <w:snapToGrid w:val="0"/>
        <w:spacing w:line="360" w:lineRule="auto"/>
        <w:ind w:firstLine="411" w:firstLineChars="196"/>
        <w:rPr>
          <w:rFonts w:hint="eastAsia" w:asciiTheme="minorEastAsia" w:hAnsiTheme="minorEastAsia" w:eastAsiaTheme="minorEastAsia"/>
          <w:szCs w:val="21"/>
        </w:rPr>
      </w:pPr>
      <w:r>
        <w:rPr>
          <w:rFonts w:hint="eastAsia" w:asciiTheme="minorEastAsia" w:hAnsiTheme="minorEastAsia" w:eastAsiaTheme="minorEastAsia"/>
          <w:szCs w:val="21"/>
        </w:rPr>
        <w:t>采用综合评分法的，按评审后得分由高到低顺序排列。</w:t>
      </w:r>
    </w:p>
    <w:p w14:paraId="6E64A269">
      <w:pPr>
        <w:pStyle w:val="88"/>
        <w:numPr>
          <w:ilvl w:val="0"/>
          <w:numId w:val="7"/>
        </w:numPr>
        <w:snapToGrid w:val="0"/>
        <w:spacing w:line="360" w:lineRule="auto"/>
        <w:ind w:left="420" w:leftChars="0" w:hanging="420" w:firstLineChars="0"/>
        <w:rPr>
          <w:rFonts w:asciiTheme="minorEastAsia" w:hAnsiTheme="minorEastAsia" w:eastAsiaTheme="minorEastAsia"/>
          <w:b/>
          <w:szCs w:val="21"/>
        </w:rPr>
      </w:pPr>
      <w:bookmarkStart w:id="194" w:name="_Toc100052405"/>
      <w:bookmarkStart w:id="195" w:name="_Toc73518159"/>
      <w:bookmarkStart w:id="196" w:name="_Toc73521588"/>
      <w:bookmarkStart w:id="197" w:name="_Toc73517681"/>
      <w:bookmarkStart w:id="198" w:name="_Toc73521676"/>
      <w:r>
        <w:rPr>
          <w:rFonts w:hint="eastAsia" w:asciiTheme="minorEastAsia" w:hAnsiTheme="minorEastAsia" w:eastAsiaTheme="minorEastAsia"/>
          <w:b/>
          <w:szCs w:val="21"/>
        </w:rPr>
        <w:t>中标结果</w:t>
      </w:r>
      <w:bookmarkEnd w:id="194"/>
    </w:p>
    <w:p w14:paraId="51E7AB30">
      <w:pPr>
        <w:pStyle w:val="88"/>
        <w:numPr>
          <w:ilvl w:val="1"/>
          <w:numId w:val="7"/>
        </w:numPr>
        <w:snapToGrid w:val="0"/>
        <w:spacing w:line="360" w:lineRule="auto"/>
        <w:ind w:left="567" w:leftChars="0" w:hanging="567" w:firstLineChars="0"/>
        <w:rPr>
          <w:rFonts w:asciiTheme="minorEastAsia" w:hAnsiTheme="minorEastAsia" w:eastAsiaTheme="minorEastAsia"/>
          <w:szCs w:val="21"/>
        </w:rPr>
      </w:pPr>
      <w:r>
        <w:rPr>
          <w:rFonts w:hint="eastAsia" w:asciiTheme="minorEastAsia" w:hAnsiTheme="minorEastAsia" w:eastAsiaTheme="minorEastAsia"/>
          <w:szCs w:val="21"/>
        </w:rPr>
        <w:t>为体现“公开、公平、公正”的原则，评标结束后，采购人将在采购人网站（详见招标公告中的查询网址）上同时发布中标结果公告，公示期为3天。供应商如对评标结果有异议，请于公示期内，以书面形式向我单位反映。若在公示期内未提出异议，则视为认同该评标结果。</w:t>
      </w:r>
    </w:p>
    <w:p w14:paraId="0029500B">
      <w:pPr>
        <w:pStyle w:val="88"/>
        <w:numPr>
          <w:ilvl w:val="1"/>
          <w:numId w:val="7"/>
        </w:numPr>
        <w:snapToGrid w:val="0"/>
        <w:spacing w:line="360" w:lineRule="auto"/>
        <w:ind w:left="567" w:leftChars="0" w:hanging="567" w:firstLineChars="0"/>
        <w:rPr>
          <w:rFonts w:hint="eastAsia" w:asciiTheme="minorEastAsia" w:hAnsiTheme="minorEastAsia" w:eastAsiaTheme="minorEastAsia"/>
          <w:szCs w:val="21"/>
        </w:rPr>
      </w:pPr>
      <w:r>
        <w:rPr>
          <w:rFonts w:hint="eastAsia" w:asciiTheme="minorEastAsia" w:hAnsiTheme="minorEastAsia" w:eastAsiaTheme="minorEastAsia"/>
          <w:szCs w:val="21"/>
        </w:rPr>
        <w:t>中心招标小组不直接向未通过符合性检查的投标人或者未中标的投标人解释落标原因，也不退还投标文件。</w:t>
      </w:r>
    </w:p>
    <w:p w14:paraId="065D97E4">
      <w:pPr>
        <w:pStyle w:val="88"/>
        <w:numPr>
          <w:ilvl w:val="0"/>
          <w:numId w:val="7"/>
        </w:numPr>
        <w:snapToGrid w:val="0"/>
        <w:spacing w:line="360" w:lineRule="auto"/>
        <w:ind w:left="420" w:leftChars="0" w:hanging="420" w:firstLineChars="0"/>
        <w:rPr>
          <w:rFonts w:asciiTheme="minorEastAsia" w:hAnsiTheme="minorEastAsia" w:eastAsiaTheme="minorEastAsia"/>
          <w:b/>
          <w:szCs w:val="21"/>
        </w:rPr>
      </w:pPr>
      <w:bookmarkStart w:id="199" w:name="_Toc100052406"/>
      <w:r>
        <w:rPr>
          <w:rFonts w:hint="eastAsia" w:asciiTheme="minorEastAsia" w:hAnsiTheme="minorEastAsia" w:eastAsiaTheme="minorEastAsia"/>
          <w:b/>
          <w:szCs w:val="21"/>
        </w:rPr>
        <w:t>中标通知书</w:t>
      </w:r>
      <w:bookmarkEnd w:id="199"/>
    </w:p>
    <w:p w14:paraId="67034198">
      <w:pPr>
        <w:pStyle w:val="88"/>
        <w:numPr>
          <w:ilvl w:val="1"/>
          <w:numId w:val="7"/>
        </w:numPr>
        <w:snapToGrid w:val="0"/>
        <w:spacing w:line="360" w:lineRule="auto"/>
        <w:ind w:left="567" w:leftChars="0" w:hanging="567" w:firstLineChars="0"/>
        <w:rPr>
          <w:rFonts w:hint="eastAsia" w:asciiTheme="minorEastAsia" w:hAnsiTheme="minorEastAsia" w:eastAsiaTheme="minorEastAsia"/>
          <w:szCs w:val="21"/>
        </w:rPr>
      </w:pPr>
      <w:bookmarkStart w:id="200" w:name="OLE_LINK12"/>
      <w:r>
        <w:rPr>
          <w:rFonts w:hint="eastAsia" w:asciiTheme="minorEastAsia" w:hAnsiTheme="minorEastAsia" w:eastAsiaTheme="minorEastAsia"/>
          <w:szCs w:val="21"/>
        </w:rPr>
        <w:t>中标公告公示期结束后,公示期内无人投诉,采购人将通知中标供应商和采购单位凭单位工作证明或法人授权证明及本人身份证领取《中标通知书》。</w:t>
      </w:r>
      <w:bookmarkEnd w:id="200"/>
    </w:p>
    <w:bookmarkEnd w:id="195"/>
    <w:bookmarkEnd w:id="196"/>
    <w:bookmarkEnd w:id="197"/>
    <w:bookmarkEnd w:id="198"/>
    <w:p w14:paraId="14CCA8D3">
      <w:pPr>
        <w:pStyle w:val="88"/>
        <w:numPr>
          <w:ilvl w:val="1"/>
          <w:numId w:val="7"/>
        </w:numPr>
        <w:snapToGrid w:val="0"/>
        <w:spacing w:line="360" w:lineRule="auto"/>
        <w:ind w:left="567" w:leftChars="0" w:hanging="567" w:firstLineChars="0"/>
      </w:pPr>
      <w:r>
        <w:rPr>
          <w:rFonts w:hint="eastAsia" w:asciiTheme="minorEastAsia" w:hAnsiTheme="minorEastAsia" w:eastAsiaTheme="minorEastAsia"/>
          <w:szCs w:val="21"/>
        </w:rPr>
        <w:t>中标通知书是合同的重要组成部分。</w:t>
      </w:r>
      <w:bookmarkStart w:id="201" w:name="bt合同的授予"/>
      <w:bookmarkEnd w:id="201"/>
      <w:r>
        <w:rPr>
          <w:rFonts w:hint="eastAsia" w:asciiTheme="minorEastAsia" w:hAnsiTheme="minorEastAsia" w:eastAsiaTheme="minorEastAsia"/>
          <w:szCs w:val="21"/>
        </w:rPr>
        <w:br w:type="page"/>
      </w:r>
    </w:p>
    <w:p w14:paraId="022DB37D">
      <w:pPr>
        <w:pStyle w:val="44"/>
        <w:spacing w:before="120" w:after="120" w:line="360" w:lineRule="auto"/>
        <w:rPr>
          <w:rFonts w:asciiTheme="minorEastAsia" w:hAnsiTheme="minorEastAsia" w:eastAsiaTheme="minorEastAsia"/>
          <w:szCs w:val="21"/>
        </w:rPr>
      </w:pPr>
      <w:bookmarkStart w:id="202" w:name="_Toc1252615711"/>
      <w:r>
        <w:rPr>
          <w:rFonts w:hint="eastAsia" w:asciiTheme="minorEastAsia" w:hAnsiTheme="minorEastAsia" w:eastAsiaTheme="minorEastAsia"/>
          <w:szCs w:val="21"/>
        </w:rPr>
        <w:t>第二册  专用条款</w:t>
      </w:r>
      <w:bookmarkEnd w:id="202"/>
    </w:p>
    <w:p w14:paraId="4B9B7565">
      <w:pPr>
        <w:pStyle w:val="3"/>
        <w:spacing w:line="360" w:lineRule="auto"/>
        <w:jc w:val="center"/>
        <w:rPr>
          <w:rFonts w:cs="宋体" w:asciiTheme="minorEastAsia" w:hAnsiTheme="minorEastAsia" w:eastAsiaTheme="minorEastAsia"/>
          <w:kern w:val="0"/>
          <w:szCs w:val="28"/>
        </w:rPr>
      </w:pPr>
      <w:bookmarkStart w:id="203" w:name="_Toc1905352448"/>
      <w:bookmarkStart w:id="204" w:name="_Toc516563012"/>
      <w:r>
        <w:rPr>
          <w:rFonts w:hint="eastAsia" w:asciiTheme="minorEastAsia" w:hAnsiTheme="minorEastAsia" w:eastAsiaTheme="minorEastAsia"/>
          <w:szCs w:val="21"/>
        </w:rPr>
        <w:t>第一章  招标公告</w:t>
      </w:r>
      <w:bookmarkEnd w:id="203"/>
      <w:bookmarkEnd w:id="204"/>
    </w:p>
    <w:p w14:paraId="60C2A0A5">
      <w:pPr>
        <w:spacing w:line="360" w:lineRule="auto"/>
        <w:jc w:val="right"/>
        <w:rPr>
          <w:rFonts w:asciiTheme="minorEastAsia" w:hAnsiTheme="minorEastAsia" w:eastAsiaTheme="minorEastAsia"/>
          <w:szCs w:val="21"/>
        </w:rPr>
      </w:pPr>
    </w:p>
    <w:p w14:paraId="662493B9">
      <w:pPr>
        <w:widowControl/>
        <w:shd w:val="clear" w:color="auto" w:fill="FFFFFF"/>
        <w:snapToGrid w:val="0"/>
        <w:spacing w:line="360" w:lineRule="auto"/>
        <w:ind w:firstLine="480"/>
        <w:jc w:val="left"/>
        <w:rPr>
          <w:rFonts w:cs="宋体" w:asciiTheme="minorEastAsia" w:hAnsiTheme="minorEastAsia" w:eastAsiaTheme="minorEastAsia"/>
          <w:kern w:val="0"/>
          <w:szCs w:val="28"/>
        </w:rPr>
      </w:pPr>
      <w:r>
        <w:rPr>
          <w:rFonts w:hint="eastAsia" w:asciiTheme="minorEastAsia" w:hAnsiTheme="minorEastAsia" w:eastAsiaTheme="minorEastAsia"/>
          <w:szCs w:val="28"/>
          <w:lang w:eastAsia="zh-CN"/>
        </w:rPr>
        <w:t>深圳市科技创新战略研究中心（深圳虚拟大学园管理服务中心）社会采购代理机构遴选项目</w:t>
      </w:r>
      <w:r>
        <w:rPr>
          <w:rFonts w:hint="eastAsia" w:asciiTheme="minorEastAsia" w:hAnsiTheme="minorEastAsia" w:eastAsiaTheme="minorEastAsia"/>
          <w:szCs w:val="28"/>
        </w:rPr>
        <w:t>进行国内公开招标。本项目参照国家和深圳市有关招标采购的相关法律法规及政策，欢迎有相应资质和能力的合格投标人参加本次投标。</w:t>
      </w:r>
    </w:p>
    <w:p w14:paraId="03F2F6BD">
      <w:pPr>
        <w:pStyle w:val="88"/>
        <w:widowControl/>
        <w:shd w:val="clear" w:color="auto" w:fill="FFFFFF"/>
        <w:snapToGrid w:val="0"/>
        <w:spacing w:line="360" w:lineRule="auto"/>
        <w:ind w:firstLine="0" w:firstLineChars="0"/>
        <w:jc w:val="left"/>
        <w:rPr>
          <w:rFonts w:cs="宋体" w:asciiTheme="minorEastAsia" w:hAnsiTheme="minorEastAsia" w:eastAsiaTheme="minorEastAsia"/>
          <w:kern w:val="0"/>
          <w:szCs w:val="28"/>
        </w:rPr>
      </w:pPr>
      <w:r>
        <w:rPr>
          <w:rFonts w:hint="eastAsia" w:cs="宋体" w:asciiTheme="minorEastAsia" w:hAnsiTheme="minorEastAsia" w:eastAsiaTheme="minorEastAsia"/>
          <w:b/>
          <w:kern w:val="0"/>
          <w:szCs w:val="28"/>
        </w:rPr>
        <w:t>一、采购项目名称：</w:t>
      </w:r>
      <w:r>
        <w:rPr>
          <w:rFonts w:hint="eastAsia" w:cs="宋体" w:asciiTheme="minorEastAsia" w:hAnsiTheme="minorEastAsia" w:eastAsiaTheme="minorEastAsia"/>
          <w:kern w:val="0"/>
          <w:szCs w:val="28"/>
          <w:lang w:eastAsia="zh-CN"/>
        </w:rPr>
        <w:t>深圳市科技创新战略研究中心（深圳虚拟大学园管理服务中心）</w:t>
      </w:r>
      <w:r>
        <w:rPr>
          <w:rFonts w:hint="eastAsia" w:cs="宋体" w:asciiTheme="minorEastAsia" w:hAnsiTheme="minorEastAsia" w:eastAsiaTheme="minorEastAsia"/>
          <w:kern w:val="0"/>
          <w:szCs w:val="28"/>
          <w:lang w:val="en-US" w:eastAsia="zh-CN"/>
        </w:rPr>
        <w:t>2026-2027年度</w:t>
      </w:r>
      <w:r>
        <w:rPr>
          <w:rFonts w:hint="eastAsia" w:cs="宋体" w:asciiTheme="minorEastAsia" w:hAnsiTheme="minorEastAsia" w:eastAsiaTheme="minorEastAsia"/>
          <w:kern w:val="0"/>
          <w:szCs w:val="28"/>
          <w:lang w:val="en" w:eastAsia="zh-CN"/>
        </w:rPr>
        <w:t>社会采购</w:t>
      </w:r>
      <w:r>
        <w:rPr>
          <w:rFonts w:hint="eastAsia" w:cs="宋体" w:asciiTheme="minorEastAsia" w:hAnsiTheme="minorEastAsia" w:eastAsiaTheme="minorEastAsia"/>
          <w:kern w:val="0"/>
          <w:szCs w:val="28"/>
          <w:lang w:eastAsia="zh-CN"/>
        </w:rPr>
        <w:t>代理机构遴选项目</w:t>
      </w:r>
    </w:p>
    <w:p w14:paraId="4D0548B3">
      <w:pPr>
        <w:pStyle w:val="88"/>
        <w:widowControl/>
        <w:shd w:val="clear" w:color="auto" w:fill="FFFFFF"/>
        <w:snapToGrid w:val="0"/>
        <w:spacing w:line="360" w:lineRule="auto"/>
        <w:ind w:firstLine="0" w:firstLineChars="0"/>
        <w:jc w:val="left"/>
        <w:rPr>
          <w:rFonts w:cs="宋体" w:asciiTheme="minorEastAsia" w:hAnsiTheme="minorEastAsia" w:eastAsiaTheme="minorEastAsia"/>
          <w:kern w:val="0"/>
          <w:szCs w:val="28"/>
        </w:rPr>
      </w:pPr>
      <w:r>
        <w:rPr>
          <w:rFonts w:hint="eastAsia" w:cs="宋体" w:asciiTheme="minorEastAsia" w:hAnsiTheme="minorEastAsia" w:eastAsiaTheme="minorEastAsia"/>
          <w:b/>
          <w:kern w:val="0"/>
          <w:szCs w:val="28"/>
        </w:rPr>
        <w:t>二、采购项目编号：</w:t>
      </w:r>
    </w:p>
    <w:p w14:paraId="33BDD2AD">
      <w:pPr>
        <w:pStyle w:val="88"/>
        <w:widowControl/>
        <w:shd w:val="clear" w:color="auto" w:fill="FFFFFF"/>
        <w:snapToGrid w:val="0"/>
        <w:spacing w:line="360" w:lineRule="auto"/>
        <w:ind w:firstLine="0" w:firstLineChars="0"/>
        <w:jc w:val="left"/>
        <w:rPr>
          <w:rFonts w:cs="宋体" w:asciiTheme="minorEastAsia" w:hAnsiTheme="minorEastAsia" w:eastAsiaTheme="minorEastAsia"/>
          <w:kern w:val="0"/>
          <w:szCs w:val="28"/>
        </w:rPr>
      </w:pPr>
      <w:r>
        <w:rPr>
          <w:rFonts w:hint="eastAsia" w:cs="宋体" w:asciiTheme="minorEastAsia" w:hAnsiTheme="minorEastAsia" w:eastAsiaTheme="minorEastAsia"/>
          <w:b/>
          <w:kern w:val="0"/>
          <w:szCs w:val="28"/>
        </w:rPr>
        <w:t xml:space="preserve">三、采购项目内容及需求: </w:t>
      </w:r>
      <w:r>
        <w:rPr>
          <w:rFonts w:hint="eastAsia" w:cs="宋体" w:asciiTheme="minorEastAsia" w:hAnsiTheme="minorEastAsia" w:eastAsiaTheme="minorEastAsia"/>
          <w:kern w:val="0"/>
          <w:szCs w:val="28"/>
        </w:rPr>
        <w:t>遴选</w:t>
      </w:r>
      <w:r>
        <w:rPr>
          <w:rFonts w:cs="宋体" w:asciiTheme="minorEastAsia" w:hAnsiTheme="minorEastAsia" w:eastAsiaTheme="minorEastAsia"/>
          <w:kern w:val="0"/>
          <w:szCs w:val="28"/>
          <w:u w:val="single"/>
        </w:rPr>
        <w:t xml:space="preserve">  </w:t>
      </w:r>
      <w:r>
        <w:rPr>
          <w:rFonts w:hint="eastAsia" w:cs="宋体" w:asciiTheme="minorEastAsia" w:hAnsiTheme="minorEastAsia" w:eastAsiaTheme="minorEastAsia"/>
          <w:kern w:val="0"/>
          <w:szCs w:val="28"/>
          <w:u w:val="single"/>
          <w:lang w:val="en-US" w:eastAsia="zh-CN"/>
        </w:rPr>
        <w:t>3</w:t>
      </w:r>
      <w:r>
        <w:rPr>
          <w:rFonts w:cs="宋体" w:asciiTheme="minorEastAsia" w:hAnsiTheme="minorEastAsia" w:eastAsiaTheme="minorEastAsia"/>
          <w:kern w:val="0"/>
          <w:szCs w:val="28"/>
          <w:u w:val="single"/>
        </w:rPr>
        <w:t xml:space="preserve">  </w:t>
      </w:r>
      <w:r>
        <w:rPr>
          <w:rFonts w:hint="eastAsia" w:cs="宋体" w:asciiTheme="minorEastAsia" w:hAnsiTheme="minorEastAsia" w:eastAsiaTheme="minorEastAsia"/>
          <w:kern w:val="0"/>
          <w:szCs w:val="28"/>
        </w:rPr>
        <w:t>家采购代理机构，详见项目招标文件。</w:t>
      </w:r>
    </w:p>
    <w:p w14:paraId="3AB1F8EE">
      <w:pPr>
        <w:pStyle w:val="88"/>
        <w:widowControl/>
        <w:shd w:val="clear" w:color="auto" w:fill="FFFFFF"/>
        <w:snapToGrid w:val="0"/>
        <w:spacing w:line="360" w:lineRule="auto"/>
        <w:ind w:firstLine="0" w:firstLineChars="0"/>
        <w:jc w:val="left"/>
        <w:rPr>
          <w:rFonts w:cs="宋体" w:asciiTheme="minorEastAsia" w:hAnsiTheme="minorEastAsia" w:eastAsiaTheme="minorEastAsia"/>
          <w:kern w:val="0"/>
          <w:szCs w:val="28"/>
        </w:rPr>
      </w:pPr>
      <w:r>
        <w:rPr>
          <w:rFonts w:hint="eastAsia" w:cs="宋体" w:asciiTheme="minorEastAsia" w:hAnsiTheme="minorEastAsia" w:eastAsiaTheme="minorEastAsia"/>
          <w:b/>
          <w:kern w:val="0"/>
          <w:szCs w:val="28"/>
        </w:rPr>
        <w:t>四、投标人的资格要求：</w:t>
      </w:r>
    </w:p>
    <w:p w14:paraId="66EAB903">
      <w:pPr>
        <w:widowControl/>
        <w:shd w:val="clear" w:color="auto" w:fill="FFFFFF"/>
        <w:snapToGrid w:val="0"/>
        <w:spacing w:line="360" w:lineRule="auto"/>
        <w:ind w:firstLine="480"/>
        <w:jc w:val="left"/>
        <w:rPr>
          <w:rFonts w:cs="宋体" w:asciiTheme="minorEastAsia" w:hAnsiTheme="minorEastAsia" w:eastAsiaTheme="minorEastAsia"/>
          <w:kern w:val="0"/>
          <w:szCs w:val="28"/>
        </w:rPr>
      </w:pPr>
      <w:bookmarkStart w:id="205" w:name="_Toc28820"/>
      <w:r>
        <w:rPr>
          <w:rFonts w:hint="eastAsia" w:cs="宋体" w:asciiTheme="minorEastAsia" w:hAnsiTheme="minorEastAsia" w:eastAsiaTheme="minorEastAsia"/>
          <w:kern w:val="0"/>
          <w:szCs w:val="28"/>
        </w:rPr>
        <w:t xml:space="preserve">（1）投标人具有独立法人资格，须提供营业执照复印件并加盖投标人公章； </w:t>
      </w:r>
    </w:p>
    <w:p w14:paraId="20A7944A">
      <w:pPr>
        <w:widowControl/>
        <w:shd w:val="clear" w:color="auto" w:fill="FFFFFF"/>
        <w:snapToGrid w:val="0"/>
        <w:spacing w:line="360" w:lineRule="auto"/>
        <w:ind w:firstLine="48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w:t>
      </w:r>
      <w:r>
        <w:rPr>
          <w:rFonts w:hint="eastAsia" w:cs="宋体" w:asciiTheme="minorEastAsia" w:hAnsiTheme="minorEastAsia" w:eastAsiaTheme="minorEastAsia"/>
          <w:kern w:val="0"/>
          <w:szCs w:val="28"/>
          <w:lang w:val="en-US" w:eastAsia="zh-CN"/>
        </w:rPr>
        <w:t>2</w:t>
      </w:r>
      <w:r>
        <w:rPr>
          <w:rFonts w:hint="eastAsia" w:cs="宋体" w:asciiTheme="minorEastAsia" w:hAnsiTheme="minorEastAsia" w:eastAsiaTheme="minorEastAsia"/>
          <w:kern w:val="0"/>
          <w:szCs w:val="28"/>
        </w:rPr>
        <w:t>）投标人必须必须符合《深圳市政府采购代理机构管理实施办法》要求且已经纳入深圳市政府采购代理机构从业名录</w:t>
      </w:r>
      <w:r>
        <w:rPr>
          <w:rFonts w:hint="eastAsia" w:cs="宋体" w:asciiTheme="minorEastAsia" w:hAnsiTheme="minorEastAsia" w:eastAsiaTheme="minorEastAsia"/>
          <w:kern w:val="0"/>
          <w:szCs w:val="28"/>
          <w:lang w:eastAsia="zh-CN"/>
        </w:rPr>
        <w:t>，</w:t>
      </w:r>
      <w:r>
        <w:rPr>
          <w:rFonts w:hint="eastAsia" w:cs="宋体" w:asciiTheme="minorEastAsia" w:hAnsiTheme="minorEastAsia" w:eastAsiaTheme="minorEastAsia"/>
          <w:kern w:val="0"/>
          <w:szCs w:val="28"/>
        </w:rPr>
        <w:t>提供从业名录公示截图并加盖投标人公章；</w:t>
      </w:r>
    </w:p>
    <w:p w14:paraId="3B4DF049">
      <w:pPr>
        <w:widowControl/>
        <w:shd w:val="clear" w:color="auto" w:fill="FFFFFF"/>
        <w:snapToGrid w:val="0"/>
        <w:spacing w:line="360" w:lineRule="auto"/>
        <w:ind w:firstLine="48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w:t>
      </w:r>
      <w:r>
        <w:rPr>
          <w:rFonts w:hint="eastAsia" w:cs="宋体" w:asciiTheme="minorEastAsia" w:hAnsiTheme="minorEastAsia" w:eastAsiaTheme="minorEastAsia"/>
          <w:kern w:val="0"/>
          <w:szCs w:val="28"/>
          <w:lang w:val="en-US" w:eastAsia="zh-CN"/>
        </w:rPr>
        <w:t>3</w:t>
      </w:r>
      <w:r>
        <w:rPr>
          <w:rFonts w:hint="eastAsia" w:cs="宋体" w:asciiTheme="minorEastAsia" w:hAnsiTheme="minorEastAsia" w:eastAsiaTheme="minorEastAsia"/>
          <w:kern w:val="0"/>
          <w:szCs w:val="28"/>
        </w:rPr>
        <w:t>）投标人须自行承诺，参与本项目投标前三年内（</w:t>
      </w:r>
      <w:r>
        <w:rPr>
          <w:rFonts w:hint="eastAsia"/>
        </w:rPr>
        <w:t>成立不足三年的从成立之日起算）</w:t>
      </w:r>
      <w:r>
        <w:rPr>
          <w:rFonts w:hint="eastAsia" w:cs="宋体" w:asciiTheme="minorEastAsia" w:hAnsiTheme="minorEastAsia" w:eastAsiaTheme="minorEastAsia"/>
          <w:kern w:val="0"/>
          <w:szCs w:val="28"/>
        </w:rPr>
        <w:t>，在经营活动中没有重大违法记录，无行贿犯罪记录，参与本项目政府采购活动时不存在被有关部门禁止参与政府采购活动且在有效期内的情况，与其他投标人不存在单位负责人为同一人或者存在直接控股、管理关系，提供书面声明并加盖投标人公章（格式详见</w:t>
      </w:r>
      <w:r>
        <w:rPr>
          <w:rFonts w:hint="eastAsia" w:cs="宋体" w:asciiTheme="minorEastAsia" w:hAnsiTheme="minorEastAsia" w:eastAsiaTheme="minorEastAsia"/>
          <w:szCs w:val="28"/>
          <w:shd w:val="clear" w:color="auto" w:fill="FFFFFF"/>
        </w:rPr>
        <w:t>招标文</w:t>
      </w:r>
      <w:r>
        <w:rPr>
          <w:rFonts w:hint="eastAsia" w:cs="宋体" w:asciiTheme="minorEastAsia" w:hAnsiTheme="minorEastAsia" w:eastAsiaTheme="minorEastAsia"/>
          <w:kern w:val="0"/>
          <w:szCs w:val="28"/>
        </w:rPr>
        <w:t>件“投标文件的格式、附件”）。</w:t>
      </w:r>
    </w:p>
    <w:p w14:paraId="7DB08358">
      <w:pPr>
        <w:widowControl/>
        <w:shd w:val="clear" w:color="auto" w:fill="FFFFFF"/>
        <w:snapToGrid w:val="0"/>
        <w:spacing w:line="360" w:lineRule="auto"/>
        <w:ind w:firstLine="48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w:t>
      </w:r>
      <w:r>
        <w:rPr>
          <w:rFonts w:hint="eastAsia" w:cs="宋体" w:asciiTheme="minorEastAsia" w:hAnsiTheme="minorEastAsia" w:eastAsiaTheme="minorEastAsia"/>
          <w:kern w:val="0"/>
          <w:szCs w:val="28"/>
          <w:lang w:val="en-US" w:eastAsia="zh-CN"/>
        </w:rPr>
        <w:t>4</w:t>
      </w:r>
      <w:r>
        <w:rPr>
          <w:rFonts w:hint="eastAsia" w:cs="宋体" w:asciiTheme="minorEastAsia" w:hAnsiTheme="minorEastAsia" w:eastAsiaTheme="minorEastAsia"/>
          <w:kern w:val="0"/>
          <w:szCs w:val="28"/>
        </w:rPr>
        <w:t>）投标截止时间前，投标人须提供在中国政府采购网“</w:t>
      </w:r>
      <w:r>
        <w:rPr>
          <w:rFonts w:hint="eastAsia"/>
        </w:rPr>
        <w:t>政府采购严重违法失信行为记录管理系统</w:t>
      </w:r>
      <w:r>
        <w:rPr>
          <w:rFonts w:hint="eastAsia" w:cs="宋体" w:asciiTheme="minorEastAsia" w:hAnsiTheme="minorEastAsia" w:eastAsiaTheme="minorEastAsia"/>
          <w:kern w:val="0"/>
          <w:szCs w:val="28"/>
        </w:rPr>
        <w:t>” （</w:t>
      </w:r>
      <w:r>
        <w:fldChar w:fldCharType="begin"/>
      </w:r>
      <w:r>
        <w:instrText xml:space="preserve"> HYPERLINK "http://www.ccgp.gov.cn/search/cr/" </w:instrText>
      </w:r>
      <w:r>
        <w:fldChar w:fldCharType="separate"/>
      </w:r>
      <w:r>
        <w:rPr>
          <w:rFonts w:hint="eastAsia" w:cs="宋体" w:asciiTheme="minorEastAsia" w:hAnsiTheme="minorEastAsia" w:eastAsiaTheme="minorEastAsia"/>
          <w:kern w:val="0"/>
          <w:szCs w:val="28"/>
        </w:rPr>
        <w:t>http://www.ccgp.gov.cn/search/cr/</w:t>
      </w:r>
      <w:r>
        <w:rPr>
          <w:rFonts w:hint="eastAsia" w:cs="宋体" w:asciiTheme="minorEastAsia" w:hAnsiTheme="minorEastAsia" w:eastAsiaTheme="minorEastAsia"/>
          <w:kern w:val="0"/>
          <w:szCs w:val="28"/>
        </w:rPr>
        <w:fldChar w:fldCharType="end"/>
      </w:r>
      <w:r>
        <w:rPr>
          <w:rFonts w:hint="eastAsia" w:cs="宋体" w:asciiTheme="minorEastAsia" w:hAnsiTheme="minorEastAsia" w:eastAsiaTheme="minorEastAsia"/>
          <w:kern w:val="0"/>
          <w:szCs w:val="28"/>
        </w:rPr>
        <w:t xml:space="preserve">) 中输入投标人全名查找并显示无相关记录的网页截图并加盖投标人公章。 </w:t>
      </w:r>
    </w:p>
    <w:p w14:paraId="089187B6">
      <w:pPr>
        <w:widowControl/>
        <w:shd w:val="clear" w:color="auto" w:fill="FFFFFF"/>
        <w:snapToGrid w:val="0"/>
        <w:spacing w:line="360" w:lineRule="auto"/>
        <w:ind w:firstLine="48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w:t>
      </w:r>
      <w:r>
        <w:rPr>
          <w:rFonts w:hint="eastAsia" w:cs="宋体" w:asciiTheme="minorEastAsia" w:hAnsiTheme="minorEastAsia" w:eastAsiaTheme="minorEastAsia"/>
          <w:kern w:val="0"/>
          <w:szCs w:val="28"/>
          <w:lang w:val="en-US" w:eastAsia="zh-CN"/>
        </w:rPr>
        <w:t>5</w:t>
      </w:r>
      <w:r>
        <w:rPr>
          <w:rFonts w:hint="eastAsia" w:cs="宋体" w:asciiTheme="minorEastAsia" w:hAnsiTheme="minorEastAsia" w:eastAsiaTheme="minorEastAsia"/>
          <w:kern w:val="0"/>
          <w:szCs w:val="28"/>
        </w:rPr>
        <w:t>）本项目不接受联合体投标，不允许转包、分包。</w:t>
      </w:r>
      <w:bookmarkEnd w:id="205"/>
    </w:p>
    <w:p w14:paraId="489FE909">
      <w:pPr>
        <w:widowControl/>
        <w:shd w:val="clear" w:color="auto" w:fill="FFFFFF"/>
        <w:snapToGrid w:val="0"/>
        <w:spacing w:line="360" w:lineRule="auto"/>
        <w:jc w:val="left"/>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五、《招标文件》获取方式、获取时间、地点：</w:t>
      </w:r>
    </w:p>
    <w:p w14:paraId="209386D1">
      <w:pPr>
        <w:widowControl/>
        <w:shd w:val="clear" w:color="auto" w:fill="FFFFFF"/>
        <w:snapToGrid w:val="0"/>
        <w:spacing w:line="360" w:lineRule="auto"/>
        <w:ind w:firstLine="48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联系人：</w:t>
      </w:r>
      <w:r>
        <w:rPr>
          <w:rFonts w:hint="eastAsia" w:cs="宋体" w:asciiTheme="minorEastAsia" w:hAnsiTheme="minorEastAsia" w:eastAsiaTheme="minorEastAsia"/>
          <w:kern w:val="0"/>
          <w:szCs w:val="28"/>
          <w:lang w:eastAsia="zh-CN"/>
        </w:rPr>
        <w:t>肖老师</w:t>
      </w:r>
      <w:r>
        <w:rPr>
          <w:rFonts w:hint="eastAsia" w:cs="宋体" w:asciiTheme="minorEastAsia" w:hAnsiTheme="minorEastAsia" w:eastAsiaTheme="minorEastAsia"/>
          <w:kern w:val="0"/>
          <w:szCs w:val="28"/>
        </w:rPr>
        <w:t xml:space="preserve"> </w:t>
      </w:r>
    </w:p>
    <w:p w14:paraId="5EDC92BF">
      <w:pPr>
        <w:widowControl/>
        <w:shd w:val="clear" w:color="auto" w:fill="FFFFFF"/>
        <w:snapToGrid w:val="0"/>
        <w:spacing w:line="360" w:lineRule="auto"/>
        <w:ind w:firstLine="480"/>
        <w:jc w:val="left"/>
        <w:rPr>
          <w:rFonts w:hint="default" w:cs="宋体" w:asciiTheme="minorEastAsia" w:hAnsiTheme="minorEastAsia" w:eastAsiaTheme="minorEastAsia"/>
          <w:kern w:val="0"/>
          <w:szCs w:val="28"/>
          <w:lang w:val="en-US"/>
        </w:rPr>
      </w:pPr>
      <w:r>
        <w:rPr>
          <w:rFonts w:hint="eastAsia" w:cs="宋体" w:asciiTheme="minorEastAsia" w:hAnsiTheme="minorEastAsia" w:eastAsiaTheme="minorEastAsia"/>
          <w:kern w:val="0"/>
          <w:szCs w:val="28"/>
        </w:rPr>
        <w:t>联系方式：</w:t>
      </w:r>
      <w:r>
        <w:rPr>
          <w:rFonts w:hint="eastAsia" w:cs="宋体" w:asciiTheme="minorEastAsia" w:hAnsiTheme="minorEastAsia" w:eastAsiaTheme="minorEastAsia"/>
          <w:kern w:val="0"/>
          <w:szCs w:val="28"/>
          <w:lang w:val="en-US" w:eastAsia="zh-CN"/>
        </w:rPr>
        <w:t>0755-83699845</w:t>
      </w:r>
    </w:p>
    <w:p w14:paraId="545112BD">
      <w:pPr>
        <w:widowControl/>
        <w:shd w:val="clear" w:color="auto" w:fill="FFFFFF"/>
        <w:spacing w:line="312" w:lineRule="auto"/>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获取时间：现场报名</w:t>
      </w:r>
      <w:r>
        <w:rPr>
          <w:rFonts w:hint="eastAsia" w:cs="宋体" w:asciiTheme="minorEastAsia" w:hAnsiTheme="minorEastAsia" w:eastAsiaTheme="minorEastAsia"/>
          <w:kern w:val="0"/>
          <w:szCs w:val="28"/>
          <w:lang w:eastAsia="zh-CN"/>
        </w:rPr>
        <w:t>或网上获取</w:t>
      </w:r>
      <w:r>
        <w:rPr>
          <w:rFonts w:hint="eastAsia" w:cs="宋体" w:asciiTheme="minorEastAsia" w:hAnsiTheme="minorEastAsia" w:eastAsiaTheme="minorEastAsia"/>
          <w:kern w:val="0"/>
          <w:szCs w:val="28"/>
        </w:rPr>
        <w:t>方式，</w:t>
      </w:r>
      <w:r>
        <w:rPr>
          <w:rFonts w:hint="eastAsia" w:cs="宋体" w:asciiTheme="minorEastAsia" w:hAnsiTheme="minorEastAsia" w:eastAsiaTheme="minorEastAsia"/>
          <w:kern w:val="0"/>
          <w:szCs w:val="28"/>
          <w:u w:val="single"/>
        </w:rPr>
        <w:t xml:space="preserve">  </w:t>
      </w:r>
      <w:r>
        <w:rPr>
          <w:rFonts w:hint="eastAsia" w:cs="宋体" w:asciiTheme="minorEastAsia" w:hAnsiTheme="minorEastAsia" w:eastAsiaTheme="minorEastAsia"/>
          <w:kern w:val="0"/>
          <w:szCs w:val="28"/>
          <w:u w:val="single"/>
          <w:lang w:val="en-US" w:eastAsia="zh-CN"/>
        </w:rPr>
        <w:t>2026</w:t>
      </w:r>
      <w:r>
        <w:rPr>
          <w:rFonts w:hint="eastAsia" w:cs="宋体" w:asciiTheme="minorEastAsia" w:hAnsiTheme="minorEastAsia" w:eastAsiaTheme="minorEastAsia"/>
          <w:kern w:val="0"/>
          <w:szCs w:val="28"/>
          <w:u w:val="single"/>
        </w:rPr>
        <w:t xml:space="preserve">年 </w:t>
      </w:r>
      <w:r>
        <w:rPr>
          <w:rFonts w:hint="eastAsia" w:cs="宋体" w:asciiTheme="minorEastAsia" w:hAnsiTheme="minorEastAsia" w:eastAsiaTheme="minorEastAsia"/>
          <w:kern w:val="0"/>
          <w:szCs w:val="28"/>
          <w:u w:val="single"/>
          <w:lang w:val="en-US" w:eastAsia="zh-CN"/>
        </w:rPr>
        <w:t>5</w:t>
      </w:r>
      <w:r>
        <w:rPr>
          <w:rFonts w:hint="eastAsia" w:cs="宋体" w:asciiTheme="minorEastAsia" w:hAnsiTheme="minorEastAsia" w:eastAsiaTheme="minorEastAsia"/>
          <w:kern w:val="0"/>
          <w:szCs w:val="28"/>
          <w:u w:val="single"/>
        </w:rPr>
        <w:t xml:space="preserve"> 月 </w:t>
      </w:r>
      <w:r>
        <w:rPr>
          <w:rFonts w:hint="eastAsia" w:cs="宋体" w:asciiTheme="minorEastAsia" w:hAnsiTheme="minorEastAsia" w:eastAsiaTheme="minorEastAsia"/>
          <w:kern w:val="0"/>
          <w:szCs w:val="28"/>
          <w:u w:val="single"/>
          <w:lang w:val="en-US" w:eastAsia="zh-CN"/>
        </w:rPr>
        <w:t>22</w:t>
      </w:r>
      <w:r>
        <w:rPr>
          <w:rFonts w:hint="eastAsia" w:cs="宋体" w:asciiTheme="minorEastAsia" w:hAnsiTheme="minorEastAsia" w:eastAsiaTheme="minorEastAsia"/>
          <w:kern w:val="0"/>
          <w:szCs w:val="28"/>
          <w:u w:val="single"/>
        </w:rPr>
        <w:t xml:space="preserve"> 日至 </w:t>
      </w:r>
      <w:r>
        <w:rPr>
          <w:rFonts w:hint="eastAsia" w:cs="宋体" w:asciiTheme="minorEastAsia" w:hAnsiTheme="minorEastAsia" w:eastAsiaTheme="minorEastAsia"/>
          <w:kern w:val="0"/>
          <w:szCs w:val="28"/>
          <w:u w:val="single"/>
          <w:lang w:val="en-US" w:eastAsia="zh-CN"/>
        </w:rPr>
        <w:t>2026</w:t>
      </w:r>
      <w:r>
        <w:rPr>
          <w:rFonts w:hint="eastAsia" w:cs="宋体" w:asciiTheme="minorEastAsia" w:hAnsiTheme="minorEastAsia" w:eastAsiaTheme="minorEastAsia"/>
          <w:kern w:val="0"/>
          <w:szCs w:val="28"/>
          <w:u w:val="single"/>
        </w:rPr>
        <w:t xml:space="preserve"> 年 </w:t>
      </w:r>
      <w:r>
        <w:rPr>
          <w:rFonts w:hint="eastAsia" w:cs="宋体" w:asciiTheme="minorEastAsia" w:hAnsiTheme="minorEastAsia" w:eastAsiaTheme="minorEastAsia"/>
          <w:kern w:val="0"/>
          <w:szCs w:val="28"/>
          <w:u w:val="single"/>
          <w:lang w:val="en-US" w:eastAsia="zh-CN"/>
        </w:rPr>
        <w:t>5</w:t>
      </w:r>
      <w:r>
        <w:rPr>
          <w:rFonts w:hint="eastAsia" w:cs="宋体" w:asciiTheme="minorEastAsia" w:hAnsiTheme="minorEastAsia" w:eastAsiaTheme="minorEastAsia"/>
          <w:kern w:val="0"/>
          <w:szCs w:val="28"/>
          <w:u w:val="single"/>
        </w:rPr>
        <w:t xml:space="preserve"> 月 </w:t>
      </w:r>
      <w:r>
        <w:rPr>
          <w:rFonts w:hint="eastAsia" w:cs="宋体" w:asciiTheme="minorEastAsia" w:hAnsiTheme="minorEastAsia" w:eastAsiaTheme="minorEastAsia"/>
          <w:kern w:val="0"/>
          <w:szCs w:val="28"/>
          <w:u w:val="single"/>
          <w:lang w:val="en-US" w:eastAsia="zh-CN"/>
        </w:rPr>
        <w:t>29</w:t>
      </w:r>
      <w:r>
        <w:rPr>
          <w:rFonts w:hint="eastAsia" w:cs="宋体" w:asciiTheme="minorEastAsia" w:hAnsiTheme="minorEastAsia" w:eastAsiaTheme="minorEastAsia"/>
          <w:kern w:val="0"/>
          <w:szCs w:val="28"/>
          <w:u w:val="single"/>
        </w:rPr>
        <w:t>日</w:t>
      </w:r>
      <w:r>
        <w:rPr>
          <w:rFonts w:hint="eastAsia" w:cs="宋体" w:asciiTheme="minorEastAsia" w:hAnsiTheme="minorEastAsia" w:eastAsiaTheme="minorEastAsia"/>
          <w:kern w:val="0"/>
          <w:szCs w:val="28"/>
        </w:rPr>
        <w:t>（工作日时间：上午9:00-12:00，下午14:00-18:00）根据招标资格要求提供相应材料，审验合格后发送招标文件</w:t>
      </w:r>
      <w:r>
        <w:rPr>
          <w:rFonts w:hint="eastAsia" w:cs="宋体" w:asciiTheme="minorEastAsia" w:hAnsiTheme="minorEastAsia" w:eastAsiaTheme="minorEastAsia"/>
          <w:kern w:val="0"/>
          <w:szCs w:val="28"/>
          <w:lang w:eastAsia="zh-CN"/>
        </w:rPr>
        <w:t>，或直接在</w:t>
      </w:r>
      <w:r>
        <w:rPr>
          <w:rFonts w:hint="eastAsia" w:cs="宋体" w:asciiTheme="minorEastAsia" w:hAnsiTheme="minorEastAsia" w:eastAsiaTheme="minorEastAsia"/>
          <w:kern w:val="0"/>
          <w:szCs w:val="28"/>
          <w:lang w:val="en-US" w:eastAsia="zh-CN"/>
        </w:rPr>
        <w:t>www.szvup.com网站获取投标文件后，将</w:t>
      </w:r>
      <w:r>
        <w:rPr>
          <w:rFonts w:hint="eastAsia" w:asciiTheme="minorEastAsia" w:hAnsiTheme="minorEastAsia" w:eastAsiaTheme="minorEastAsia"/>
          <w:szCs w:val="21"/>
        </w:rPr>
        <w:t>相应资格证明材料</w:t>
      </w:r>
      <w:r>
        <w:rPr>
          <w:rFonts w:hint="eastAsia" w:asciiTheme="minorEastAsia" w:hAnsiTheme="minorEastAsia" w:eastAsiaTheme="minorEastAsia"/>
          <w:szCs w:val="21"/>
          <w:lang w:eastAsia="zh-CN"/>
        </w:rPr>
        <w:t>与投标文件一起提交到指定地点</w:t>
      </w:r>
      <w:r>
        <w:rPr>
          <w:rFonts w:hint="eastAsia" w:cs="宋体" w:asciiTheme="minorEastAsia" w:hAnsiTheme="minorEastAsia" w:eastAsiaTheme="minorEastAsia"/>
          <w:kern w:val="0"/>
          <w:szCs w:val="28"/>
        </w:rPr>
        <w:t>。</w:t>
      </w:r>
    </w:p>
    <w:p w14:paraId="5EA93350">
      <w:pPr>
        <w:widowControl/>
        <w:shd w:val="clear" w:color="auto" w:fill="FFFFFF"/>
        <w:snapToGrid w:val="0"/>
        <w:spacing w:line="360" w:lineRule="auto"/>
        <w:ind w:firstLine="48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地址：</w:t>
      </w:r>
      <w:r>
        <w:rPr>
          <w:rFonts w:hint="eastAsia" w:cs="宋体" w:asciiTheme="minorEastAsia" w:hAnsiTheme="minorEastAsia" w:eastAsiaTheme="minorEastAsia"/>
          <w:kern w:val="0"/>
          <w:szCs w:val="28"/>
          <w:u w:val="single"/>
        </w:rPr>
        <w:t>广东省深圳市南山区粤海街道深圳虚拟大学园R4大楼</w:t>
      </w:r>
      <w:r>
        <w:rPr>
          <w:rFonts w:hint="eastAsia" w:cs="宋体" w:asciiTheme="minorEastAsia" w:hAnsiTheme="minorEastAsia" w:eastAsiaTheme="minorEastAsia"/>
          <w:kern w:val="0"/>
          <w:szCs w:val="28"/>
          <w:u w:val="single"/>
          <w:lang w:val="en-US" w:eastAsia="zh-CN"/>
        </w:rPr>
        <w:t>B309。</w:t>
      </w:r>
      <w:r>
        <w:rPr>
          <w:rFonts w:hint="eastAsia" w:cs="宋体" w:asciiTheme="minorEastAsia" w:hAnsiTheme="minorEastAsia" w:eastAsiaTheme="minorEastAsia"/>
          <w:kern w:val="0"/>
          <w:szCs w:val="28"/>
        </w:rPr>
        <w:t xml:space="preserve"> </w:t>
      </w:r>
    </w:p>
    <w:p w14:paraId="507FF2A8">
      <w:pPr>
        <w:widowControl/>
        <w:shd w:val="clear" w:color="auto" w:fill="FFFFFF"/>
        <w:snapToGrid w:val="0"/>
        <w:spacing w:line="360" w:lineRule="auto"/>
        <w:ind w:firstLine="480"/>
        <w:jc w:val="left"/>
        <w:rPr>
          <w:rFonts w:ascii="宋体" w:hAnsi="宋体" w:cs="宋体"/>
        </w:rPr>
      </w:pPr>
      <w:r>
        <w:rPr>
          <w:rFonts w:hint="eastAsia" w:cs="宋体" w:asciiTheme="minorEastAsia" w:hAnsiTheme="minorEastAsia" w:eastAsiaTheme="minorEastAsia"/>
          <w:kern w:val="0"/>
          <w:szCs w:val="28"/>
        </w:rPr>
        <w:t xml:space="preserve">邮政编码：518000 </w:t>
      </w:r>
    </w:p>
    <w:p w14:paraId="63321E2C">
      <w:pPr>
        <w:widowControl/>
        <w:shd w:val="clear" w:color="auto" w:fill="FFFFFF"/>
        <w:snapToGrid w:val="0"/>
        <w:spacing w:line="360" w:lineRule="auto"/>
        <w:jc w:val="left"/>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六、递交投标文件截止时间、开标时间和地点：</w:t>
      </w:r>
    </w:p>
    <w:p w14:paraId="404DAC4C">
      <w:pPr>
        <w:widowControl/>
        <w:shd w:val="clear" w:color="auto" w:fill="FFFFFF"/>
        <w:snapToGrid w:val="0"/>
        <w:spacing w:line="360" w:lineRule="auto"/>
        <w:ind w:firstLine="48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1、递交投标文件</w:t>
      </w:r>
      <w:r>
        <w:rPr>
          <w:rFonts w:hint="eastAsia" w:cs="宋体" w:asciiTheme="minorEastAsia" w:hAnsiTheme="minorEastAsia" w:eastAsiaTheme="minorEastAsia"/>
          <w:kern w:val="0"/>
          <w:szCs w:val="28"/>
          <w:lang w:eastAsia="zh-CN"/>
        </w:rPr>
        <w:t>截止</w:t>
      </w:r>
      <w:r>
        <w:rPr>
          <w:rFonts w:hint="eastAsia" w:cs="宋体" w:asciiTheme="minorEastAsia" w:hAnsiTheme="minorEastAsia" w:eastAsiaTheme="minorEastAsia"/>
          <w:kern w:val="0"/>
          <w:szCs w:val="28"/>
        </w:rPr>
        <w:t>时间：</w:t>
      </w:r>
      <w:r>
        <w:rPr>
          <w:rFonts w:hint="eastAsia" w:cs="宋体" w:asciiTheme="minorEastAsia" w:hAnsiTheme="minorEastAsia" w:eastAsiaTheme="minorEastAsia"/>
          <w:kern w:val="0"/>
          <w:szCs w:val="28"/>
          <w:u w:val="none"/>
        </w:rPr>
        <w:t xml:space="preserve"> </w:t>
      </w:r>
      <w:r>
        <w:rPr>
          <w:rFonts w:hint="eastAsia" w:cs="宋体" w:asciiTheme="minorEastAsia" w:hAnsiTheme="minorEastAsia" w:eastAsiaTheme="minorEastAsia"/>
          <w:kern w:val="0"/>
          <w:szCs w:val="28"/>
          <w:u w:val="single"/>
        </w:rPr>
        <w:t xml:space="preserve"> </w:t>
      </w:r>
      <w:r>
        <w:rPr>
          <w:rFonts w:hint="eastAsia" w:cs="宋体" w:asciiTheme="minorEastAsia" w:hAnsiTheme="minorEastAsia" w:eastAsiaTheme="minorEastAsia"/>
          <w:kern w:val="0"/>
          <w:szCs w:val="28"/>
          <w:u w:val="single"/>
          <w:lang w:val="en-US" w:eastAsia="zh-CN"/>
        </w:rPr>
        <w:t>2026</w:t>
      </w:r>
      <w:r>
        <w:rPr>
          <w:rFonts w:hint="eastAsia" w:cs="宋体" w:asciiTheme="minorEastAsia" w:hAnsiTheme="minorEastAsia" w:eastAsiaTheme="minorEastAsia"/>
          <w:kern w:val="0"/>
          <w:szCs w:val="28"/>
          <w:u w:val="single"/>
        </w:rPr>
        <w:t>年</w:t>
      </w:r>
      <w:r>
        <w:rPr>
          <w:rFonts w:hint="eastAsia" w:cs="宋体" w:asciiTheme="minorEastAsia" w:hAnsiTheme="minorEastAsia" w:eastAsiaTheme="minorEastAsia"/>
          <w:kern w:val="0"/>
          <w:szCs w:val="28"/>
          <w:u w:val="single"/>
          <w:lang w:val="en-US" w:eastAsia="zh-CN"/>
        </w:rPr>
        <w:t>5</w:t>
      </w:r>
      <w:r>
        <w:rPr>
          <w:rFonts w:hint="eastAsia" w:cs="宋体" w:asciiTheme="minorEastAsia" w:hAnsiTheme="minorEastAsia" w:eastAsiaTheme="minorEastAsia"/>
          <w:kern w:val="0"/>
          <w:szCs w:val="28"/>
          <w:u w:val="single"/>
        </w:rPr>
        <w:t>月</w:t>
      </w:r>
      <w:r>
        <w:rPr>
          <w:rFonts w:hint="eastAsia" w:cs="宋体" w:asciiTheme="minorEastAsia" w:hAnsiTheme="minorEastAsia" w:eastAsiaTheme="minorEastAsia"/>
          <w:kern w:val="0"/>
          <w:szCs w:val="28"/>
          <w:u w:val="single"/>
          <w:lang w:val="en-US" w:eastAsia="zh-CN"/>
        </w:rPr>
        <w:t>29</w:t>
      </w:r>
      <w:bookmarkStart w:id="273" w:name="_GoBack"/>
      <w:bookmarkEnd w:id="273"/>
      <w:r>
        <w:rPr>
          <w:rFonts w:hint="eastAsia" w:cs="宋体" w:asciiTheme="minorEastAsia" w:hAnsiTheme="minorEastAsia" w:eastAsiaTheme="minorEastAsia"/>
          <w:kern w:val="0"/>
          <w:szCs w:val="28"/>
          <w:u w:val="single"/>
        </w:rPr>
        <w:t>日下午1</w:t>
      </w:r>
      <w:r>
        <w:rPr>
          <w:rFonts w:hint="eastAsia" w:cs="宋体" w:asciiTheme="minorEastAsia" w:hAnsiTheme="minorEastAsia" w:eastAsiaTheme="minorEastAsia"/>
          <w:kern w:val="0"/>
          <w:szCs w:val="28"/>
          <w:u w:val="single"/>
          <w:lang w:val="en-US" w:eastAsia="zh-CN"/>
        </w:rPr>
        <w:t>8</w:t>
      </w:r>
      <w:r>
        <w:rPr>
          <w:rFonts w:hint="eastAsia" w:cs="宋体" w:asciiTheme="minorEastAsia" w:hAnsiTheme="minorEastAsia" w:eastAsiaTheme="minorEastAsia"/>
          <w:kern w:val="0"/>
          <w:szCs w:val="28"/>
          <w:u w:val="single"/>
        </w:rPr>
        <w:t>时</w:t>
      </w:r>
      <w:r>
        <w:rPr>
          <w:rFonts w:hint="eastAsia" w:cs="宋体" w:asciiTheme="minorEastAsia" w:hAnsiTheme="minorEastAsia" w:eastAsiaTheme="minorEastAsia"/>
          <w:kern w:val="0"/>
          <w:szCs w:val="28"/>
          <w:u w:val="single"/>
          <w:lang w:val="en-US" w:eastAsia="zh-CN"/>
        </w:rPr>
        <w:t>0</w:t>
      </w:r>
      <w:r>
        <w:rPr>
          <w:rFonts w:hint="eastAsia" w:cs="宋体" w:asciiTheme="minorEastAsia" w:hAnsiTheme="minorEastAsia" w:eastAsiaTheme="minorEastAsia"/>
          <w:kern w:val="0"/>
          <w:szCs w:val="28"/>
          <w:u w:val="single"/>
        </w:rPr>
        <w:t>0分（北京时间）。</w:t>
      </w:r>
    </w:p>
    <w:p w14:paraId="706A09B8">
      <w:pPr>
        <w:widowControl/>
        <w:shd w:val="clear" w:color="auto" w:fill="FFFFFF"/>
        <w:snapToGrid w:val="0"/>
        <w:spacing w:line="360" w:lineRule="auto"/>
        <w:ind w:firstLine="480"/>
        <w:jc w:val="left"/>
        <w:rPr>
          <w:rFonts w:hint="eastAsia" w:cs="宋体" w:asciiTheme="minorEastAsia" w:hAnsiTheme="minorEastAsia" w:eastAsiaTheme="minorEastAsia"/>
          <w:kern w:val="0"/>
          <w:szCs w:val="28"/>
        </w:rPr>
      </w:pPr>
      <w:r>
        <w:rPr>
          <w:rFonts w:hint="eastAsia" w:cs="宋体" w:asciiTheme="minorEastAsia" w:hAnsiTheme="minorEastAsia" w:eastAsiaTheme="minorEastAsia"/>
          <w:kern w:val="0"/>
          <w:szCs w:val="28"/>
        </w:rPr>
        <w:t>2、投标截止时间：</w:t>
      </w:r>
      <w:r>
        <w:rPr>
          <w:rFonts w:hint="eastAsia" w:cs="宋体" w:asciiTheme="minorEastAsia" w:hAnsiTheme="minorEastAsia" w:eastAsiaTheme="minorEastAsia"/>
          <w:kern w:val="0"/>
          <w:szCs w:val="28"/>
          <w:u w:val="single"/>
        </w:rPr>
        <w:t xml:space="preserve"> </w:t>
      </w:r>
      <w:r>
        <w:rPr>
          <w:rFonts w:hint="eastAsia" w:cs="宋体" w:asciiTheme="minorEastAsia" w:hAnsiTheme="minorEastAsia" w:eastAsiaTheme="minorEastAsia"/>
          <w:kern w:val="0"/>
          <w:szCs w:val="28"/>
          <w:u w:val="single"/>
          <w:lang w:val="en-US" w:eastAsia="zh-CN"/>
        </w:rPr>
        <w:t>2026</w:t>
      </w:r>
      <w:r>
        <w:rPr>
          <w:rFonts w:hint="eastAsia" w:cs="宋体" w:asciiTheme="minorEastAsia" w:hAnsiTheme="minorEastAsia" w:eastAsiaTheme="minorEastAsia"/>
          <w:kern w:val="0"/>
          <w:szCs w:val="28"/>
          <w:u w:val="single"/>
        </w:rPr>
        <w:t xml:space="preserve"> 年 </w:t>
      </w:r>
      <w:r>
        <w:rPr>
          <w:rFonts w:hint="eastAsia" w:cs="宋体" w:asciiTheme="minorEastAsia" w:hAnsiTheme="minorEastAsia" w:eastAsiaTheme="minorEastAsia"/>
          <w:kern w:val="0"/>
          <w:szCs w:val="28"/>
          <w:u w:val="single"/>
          <w:lang w:val="en-US" w:eastAsia="zh-CN"/>
        </w:rPr>
        <w:t>5</w:t>
      </w:r>
      <w:r>
        <w:rPr>
          <w:rFonts w:hint="eastAsia" w:cs="宋体" w:asciiTheme="minorEastAsia" w:hAnsiTheme="minorEastAsia" w:eastAsiaTheme="minorEastAsia"/>
          <w:kern w:val="0"/>
          <w:szCs w:val="28"/>
          <w:u w:val="single"/>
        </w:rPr>
        <w:t xml:space="preserve"> 月 </w:t>
      </w:r>
      <w:r>
        <w:rPr>
          <w:rFonts w:hint="eastAsia" w:cs="宋体" w:asciiTheme="minorEastAsia" w:hAnsiTheme="minorEastAsia" w:eastAsiaTheme="minorEastAsia"/>
          <w:kern w:val="0"/>
          <w:szCs w:val="28"/>
          <w:u w:val="single"/>
          <w:lang w:val="en-US" w:eastAsia="zh-CN"/>
        </w:rPr>
        <w:t>29</w:t>
      </w:r>
      <w:r>
        <w:rPr>
          <w:rFonts w:hint="eastAsia" w:cs="宋体" w:asciiTheme="minorEastAsia" w:hAnsiTheme="minorEastAsia" w:eastAsiaTheme="minorEastAsia"/>
          <w:kern w:val="0"/>
          <w:szCs w:val="28"/>
          <w:u w:val="single"/>
        </w:rPr>
        <w:t>日下午1</w:t>
      </w:r>
      <w:r>
        <w:rPr>
          <w:rFonts w:hint="eastAsia" w:cs="宋体" w:asciiTheme="minorEastAsia" w:hAnsiTheme="minorEastAsia" w:eastAsiaTheme="minorEastAsia"/>
          <w:kern w:val="0"/>
          <w:szCs w:val="28"/>
          <w:u w:val="single"/>
          <w:lang w:val="en-US" w:eastAsia="zh-CN"/>
        </w:rPr>
        <w:t>8</w:t>
      </w:r>
      <w:r>
        <w:rPr>
          <w:rFonts w:hint="eastAsia" w:cs="宋体" w:asciiTheme="minorEastAsia" w:hAnsiTheme="minorEastAsia" w:eastAsiaTheme="minorEastAsia"/>
          <w:kern w:val="0"/>
          <w:szCs w:val="28"/>
          <w:u w:val="single"/>
        </w:rPr>
        <w:t>时</w:t>
      </w:r>
      <w:r>
        <w:rPr>
          <w:rFonts w:hint="eastAsia" w:cs="宋体" w:asciiTheme="minorEastAsia" w:hAnsiTheme="minorEastAsia" w:eastAsiaTheme="minorEastAsia"/>
          <w:kern w:val="0"/>
          <w:szCs w:val="28"/>
          <w:u w:val="single"/>
          <w:lang w:val="en-US" w:eastAsia="zh-CN"/>
        </w:rPr>
        <w:t>0</w:t>
      </w:r>
      <w:r>
        <w:rPr>
          <w:rFonts w:hint="eastAsia" w:cs="宋体" w:asciiTheme="minorEastAsia" w:hAnsiTheme="minorEastAsia" w:eastAsiaTheme="minorEastAsia"/>
          <w:kern w:val="0"/>
          <w:szCs w:val="28"/>
          <w:u w:val="single"/>
        </w:rPr>
        <w:t>0分（北京时间）。</w:t>
      </w:r>
    </w:p>
    <w:p w14:paraId="0B0A11D9">
      <w:pPr>
        <w:widowControl/>
        <w:shd w:val="clear" w:color="auto" w:fill="FFFFFF"/>
        <w:snapToGrid w:val="0"/>
        <w:spacing w:line="360" w:lineRule="auto"/>
        <w:ind w:firstLine="480"/>
        <w:jc w:val="left"/>
      </w:pPr>
      <w:r>
        <w:rPr>
          <w:rFonts w:hint="eastAsia" w:cs="宋体" w:asciiTheme="minorEastAsia" w:hAnsiTheme="minorEastAsia" w:eastAsiaTheme="minorEastAsia"/>
          <w:kern w:val="0"/>
          <w:szCs w:val="28"/>
          <w:lang w:val="en-US" w:eastAsia="zh-CN"/>
        </w:rPr>
        <w:t>3</w:t>
      </w:r>
      <w:r>
        <w:rPr>
          <w:rFonts w:hint="eastAsia" w:cs="宋体" w:asciiTheme="minorEastAsia" w:hAnsiTheme="minorEastAsia" w:eastAsiaTheme="minorEastAsia"/>
          <w:kern w:val="0"/>
          <w:szCs w:val="28"/>
        </w:rPr>
        <w:t>、</w:t>
      </w:r>
      <w:r>
        <w:rPr>
          <w:rFonts w:hint="eastAsia" w:cs="宋体" w:asciiTheme="minorEastAsia" w:hAnsiTheme="minorEastAsia" w:eastAsiaTheme="minorEastAsia"/>
          <w:kern w:val="0"/>
          <w:szCs w:val="28"/>
          <w:lang w:eastAsia="zh-CN"/>
        </w:rPr>
        <w:t>开标</w:t>
      </w:r>
      <w:r>
        <w:rPr>
          <w:rFonts w:hint="eastAsia" w:cs="宋体" w:asciiTheme="minorEastAsia" w:hAnsiTheme="minorEastAsia" w:eastAsiaTheme="minorEastAsia"/>
          <w:kern w:val="0"/>
          <w:szCs w:val="28"/>
        </w:rPr>
        <w:t>时间：</w:t>
      </w:r>
      <w:r>
        <w:rPr>
          <w:rFonts w:hint="eastAsia" w:cs="宋体" w:asciiTheme="minorEastAsia" w:hAnsiTheme="minorEastAsia" w:eastAsiaTheme="minorEastAsia"/>
          <w:kern w:val="0"/>
          <w:szCs w:val="28"/>
          <w:u w:val="single"/>
          <w:lang w:eastAsia="zh-CN"/>
        </w:rPr>
        <w:t>由采购人确定后另行通知</w:t>
      </w:r>
      <w:r>
        <w:rPr>
          <w:rFonts w:hint="eastAsia" w:cs="宋体" w:asciiTheme="minorEastAsia" w:hAnsiTheme="minorEastAsia" w:eastAsiaTheme="minorEastAsia"/>
          <w:kern w:val="0"/>
          <w:szCs w:val="28"/>
          <w:u w:val="single"/>
        </w:rPr>
        <w:t>。</w:t>
      </w:r>
    </w:p>
    <w:p w14:paraId="17753E08">
      <w:pPr>
        <w:widowControl/>
        <w:shd w:val="clear" w:color="auto" w:fill="FFFFFF"/>
        <w:snapToGrid w:val="0"/>
        <w:spacing w:line="360" w:lineRule="auto"/>
        <w:ind w:firstLine="480"/>
        <w:jc w:val="left"/>
        <w:rPr>
          <w:rFonts w:cs="宋体" w:asciiTheme="minorEastAsia" w:hAnsiTheme="minorEastAsia" w:eastAsiaTheme="minorEastAsia"/>
          <w:kern w:val="0"/>
          <w:szCs w:val="28"/>
          <w:u w:val="single"/>
        </w:rPr>
      </w:pPr>
      <w:r>
        <w:rPr>
          <w:rFonts w:hint="eastAsia" w:cs="宋体" w:asciiTheme="minorEastAsia" w:hAnsiTheme="minorEastAsia" w:eastAsiaTheme="minorEastAsia"/>
          <w:kern w:val="0"/>
          <w:szCs w:val="28"/>
          <w:lang w:val="en-US" w:eastAsia="zh-CN"/>
        </w:rPr>
        <w:t>4</w:t>
      </w:r>
      <w:r>
        <w:rPr>
          <w:rFonts w:hint="eastAsia" w:cs="宋体" w:asciiTheme="minorEastAsia" w:hAnsiTheme="minorEastAsia" w:eastAsiaTheme="minorEastAsia"/>
          <w:kern w:val="0"/>
          <w:szCs w:val="28"/>
        </w:rPr>
        <w:t>、投标文件递交地点及开标地点：</w:t>
      </w:r>
      <w:r>
        <w:rPr>
          <w:rFonts w:hint="eastAsia" w:cs="宋体" w:asciiTheme="minorEastAsia" w:hAnsiTheme="minorEastAsia" w:eastAsiaTheme="minorEastAsia"/>
          <w:kern w:val="0"/>
          <w:szCs w:val="28"/>
          <w:u w:val="single"/>
        </w:rPr>
        <w:t xml:space="preserve">  广东省深圳市南山区粤海街道深圳虚拟大学园R4大楼</w:t>
      </w:r>
      <w:r>
        <w:rPr>
          <w:rFonts w:hint="eastAsia" w:cs="宋体" w:asciiTheme="minorEastAsia" w:hAnsiTheme="minorEastAsia" w:eastAsiaTheme="minorEastAsia"/>
          <w:kern w:val="0"/>
          <w:szCs w:val="28"/>
          <w:u w:val="single"/>
          <w:lang w:val="en-US" w:eastAsia="zh-CN"/>
        </w:rPr>
        <w:t>三楼</w:t>
      </w:r>
      <w:r>
        <w:rPr>
          <w:rFonts w:hint="eastAsia" w:cs="宋体" w:asciiTheme="minorEastAsia" w:hAnsiTheme="minorEastAsia" w:eastAsiaTheme="minorEastAsia"/>
          <w:kern w:val="0"/>
          <w:szCs w:val="28"/>
          <w:u w:val="single"/>
        </w:rPr>
        <w:t xml:space="preserve">               </w:t>
      </w:r>
    </w:p>
    <w:p w14:paraId="40A9D7E9">
      <w:pPr>
        <w:widowControl/>
        <w:shd w:val="clear" w:color="auto" w:fill="FFFFFF"/>
        <w:spacing w:line="312" w:lineRule="auto"/>
        <w:rPr>
          <w:rFonts w:ascii="宋体" w:hAnsi="宋体" w:cs="宋体"/>
          <w:kern w:val="0"/>
          <w:sz w:val="24"/>
        </w:rPr>
      </w:pPr>
      <w:r>
        <w:rPr>
          <w:rFonts w:hint="eastAsia" w:cs="宋体" w:asciiTheme="minorEastAsia" w:hAnsiTheme="minorEastAsia" w:eastAsiaTheme="minorEastAsia"/>
          <w:b/>
          <w:kern w:val="0"/>
          <w:szCs w:val="28"/>
        </w:rPr>
        <w:t>七、评审办法和评审标准：</w:t>
      </w:r>
      <w:r>
        <w:rPr>
          <w:rFonts w:hint="eastAsia" w:cs="宋体" w:asciiTheme="minorEastAsia" w:hAnsiTheme="minorEastAsia" w:eastAsiaTheme="minorEastAsia"/>
          <w:kern w:val="0"/>
          <w:szCs w:val="28"/>
        </w:rPr>
        <w:t>本项目评审采用综合评分法。详细的评分因素和标准见招标文件。</w:t>
      </w:r>
    </w:p>
    <w:p w14:paraId="441E73F2">
      <w:pPr>
        <w:widowControl/>
        <w:shd w:val="clear" w:color="auto" w:fill="FFFFFF"/>
        <w:spacing w:line="312" w:lineRule="auto"/>
        <w:rPr>
          <w:rFonts w:hint="eastAsia" w:cs="宋体" w:asciiTheme="minorEastAsia" w:hAnsiTheme="minorEastAsia" w:eastAsiaTheme="minorEastAsia"/>
          <w:kern w:val="0"/>
          <w:szCs w:val="28"/>
          <w:lang w:eastAsia="zh-CN"/>
        </w:rPr>
      </w:pPr>
      <w:r>
        <w:rPr>
          <w:rFonts w:hint="eastAsia" w:cs="宋体" w:asciiTheme="minorEastAsia" w:hAnsiTheme="minorEastAsia" w:eastAsiaTheme="minorEastAsia"/>
          <w:b/>
          <w:kern w:val="0"/>
          <w:szCs w:val="28"/>
        </w:rPr>
        <w:t>八、发布媒介：</w:t>
      </w:r>
      <w:r>
        <w:rPr>
          <w:rFonts w:hint="eastAsia" w:cs="宋体" w:asciiTheme="minorEastAsia" w:hAnsiTheme="minorEastAsia" w:eastAsiaTheme="minorEastAsia"/>
          <w:kern w:val="0"/>
          <w:szCs w:val="28"/>
          <w:lang w:eastAsia="zh-CN"/>
        </w:rPr>
        <w:t>深圳市科技创新战略研究中心（深圳虚拟大学园管理服务中心）</w:t>
      </w:r>
      <w:r>
        <w:rPr>
          <w:rFonts w:hint="eastAsia" w:cs="宋体" w:asciiTheme="minorEastAsia" w:hAnsiTheme="minorEastAsia" w:eastAsiaTheme="minorEastAsia"/>
          <w:kern w:val="0"/>
          <w:szCs w:val="28"/>
        </w:rPr>
        <w:t>官方网站</w:t>
      </w:r>
      <w:r>
        <w:rPr>
          <w:rFonts w:hint="eastAsia" w:cs="宋体" w:asciiTheme="minorEastAsia" w:hAnsiTheme="minorEastAsia" w:eastAsiaTheme="minorEastAsia"/>
          <w:kern w:val="0"/>
          <w:szCs w:val="28"/>
          <w:lang w:eastAsia="zh-CN"/>
        </w:rPr>
        <w:t>（</w:t>
      </w:r>
      <w:r>
        <w:rPr>
          <w:rFonts w:hint="eastAsia" w:cs="宋体" w:asciiTheme="minorEastAsia" w:hAnsiTheme="minorEastAsia" w:eastAsiaTheme="minorEastAsia"/>
          <w:kern w:val="0"/>
          <w:szCs w:val="28"/>
          <w:lang w:val="en-US" w:eastAsia="zh-CN"/>
        </w:rPr>
        <w:t>www.szvup.com</w:t>
      </w:r>
      <w:r>
        <w:rPr>
          <w:rFonts w:hint="eastAsia" w:cs="宋体" w:asciiTheme="minorEastAsia" w:hAnsiTheme="minorEastAsia" w:eastAsiaTheme="minorEastAsia"/>
          <w:kern w:val="0"/>
          <w:szCs w:val="28"/>
          <w:lang w:eastAsia="zh-CN"/>
        </w:rPr>
        <w:t>）</w:t>
      </w:r>
    </w:p>
    <w:p w14:paraId="3487338F"/>
    <w:p w14:paraId="4C5388D6">
      <w:pPr>
        <w:widowControl/>
        <w:shd w:val="clear" w:color="auto" w:fill="FFFFFF"/>
        <w:snapToGrid w:val="0"/>
        <w:spacing w:line="360" w:lineRule="auto"/>
        <w:ind w:firstLine="480"/>
        <w:jc w:val="left"/>
        <w:rPr>
          <w:rFonts w:asciiTheme="minorEastAsia" w:hAnsiTheme="minorEastAsia" w:eastAsiaTheme="minorEastAsia"/>
          <w:szCs w:val="28"/>
        </w:rPr>
      </w:pPr>
    </w:p>
    <w:p w14:paraId="09DC5851">
      <w:pPr>
        <w:widowControl/>
        <w:shd w:val="clear" w:color="auto" w:fill="FFFFFF"/>
        <w:snapToGrid w:val="0"/>
        <w:spacing w:line="360" w:lineRule="auto"/>
        <w:ind w:firstLine="480"/>
        <w:jc w:val="left"/>
        <w:rPr>
          <w:rFonts w:asciiTheme="minorEastAsia" w:hAnsiTheme="minorEastAsia" w:eastAsiaTheme="minorEastAsia"/>
          <w:szCs w:val="28"/>
        </w:rPr>
      </w:pPr>
    </w:p>
    <w:p w14:paraId="500AFBBC">
      <w:pPr>
        <w:pStyle w:val="7"/>
        <w:spacing w:before="78" w:beforeLines="25" w:after="78" w:afterLines="25"/>
        <w:ind w:left="900" w:firstLine="0" w:firstLineChars="0"/>
        <w:jc w:val="right"/>
        <w:rPr>
          <w:rFonts w:asciiTheme="minorEastAsia" w:hAnsiTheme="minorEastAsia" w:eastAsiaTheme="minorEastAsia"/>
          <w:szCs w:val="28"/>
        </w:rPr>
      </w:pPr>
    </w:p>
    <w:p w14:paraId="289FE086">
      <w:pPr>
        <w:widowControl/>
        <w:shd w:val="clear" w:color="auto" w:fill="FFFFFF"/>
        <w:snapToGrid w:val="0"/>
        <w:spacing w:line="360" w:lineRule="auto"/>
        <w:ind w:firstLine="480"/>
        <w:jc w:val="right"/>
        <w:rPr>
          <w:rFonts w:hint="eastAsia" w:cs="宋体" w:asciiTheme="minorEastAsia" w:hAnsiTheme="minorEastAsia" w:eastAsiaTheme="minorEastAsia"/>
          <w:kern w:val="0"/>
          <w:szCs w:val="28"/>
          <w:lang w:eastAsia="zh-CN"/>
        </w:rPr>
      </w:pPr>
      <w:r>
        <w:rPr>
          <w:rFonts w:hint="eastAsia" w:cs="宋体" w:asciiTheme="minorEastAsia" w:hAnsiTheme="minorEastAsia" w:eastAsiaTheme="minorEastAsia"/>
          <w:kern w:val="0"/>
          <w:szCs w:val="28"/>
        </w:rPr>
        <w:t xml:space="preserve">    </w:t>
      </w:r>
      <w:r>
        <w:rPr>
          <w:rFonts w:hint="eastAsia" w:cs="宋体" w:asciiTheme="minorEastAsia" w:hAnsiTheme="minorEastAsia" w:eastAsiaTheme="minorEastAsia"/>
          <w:kern w:val="0"/>
          <w:szCs w:val="28"/>
          <w:lang w:eastAsia="zh-CN"/>
        </w:rPr>
        <w:t>深圳市科技创新战略研究中心</w:t>
      </w:r>
    </w:p>
    <w:p w14:paraId="17345B82">
      <w:pPr>
        <w:widowControl/>
        <w:shd w:val="clear" w:color="auto" w:fill="FFFFFF"/>
        <w:snapToGrid w:val="0"/>
        <w:spacing w:line="360" w:lineRule="auto"/>
        <w:ind w:firstLine="480"/>
        <w:jc w:val="righ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lang w:eastAsia="zh-CN"/>
        </w:rPr>
        <w:t>（深圳虚拟大学园管理服务中心）</w:t>
      </w:r>
      <w:r>
        <w:rPr>
          <w:rFonts w:hint="eastAsia" w:cs="宋体" w:asciiTheme="minorEastAsia" w:hAnsiTheme="minorEastAsia" w:eastAsiaTheme="minorEastAsia"/>
          <w:kern w:val="0"/>
          <w:szCs w:val="28"/>
        </w:rPr>
        <w:t xml:space="preserve">                                                </w:t>
      </w:r>
    </w:p>
    <w:p w14:paraId="06AA0FBE">
      <w:pPr>
        <w:widowControl/>
        <w:jc w:val="left"/>
        <w:rPr>
          <w:rFonts w:asciiTheme="minorEastAsia" w:hAnsiTheme="minorEastAsia" w:eastAsiaTheme="minorEastAsia"/>
          <w:b/>
          <w:bCs/>
          <w:szCs w:val="21"/>
        </w:rPr>
      </w:pPr>
      <w:r>
        <w:rPr>
          <w:rFonts w:hint="eastAsia" w:cs="宋体" w:asciiTheme="minorEastAsia" w:hAnsiTheme="minorEastAsia" w:eastAsiaTheme="minorEastAsia"/>
          <w:kern w:val="0"/>
          <w:szCs w:val="28"/>
        </w:rPr>
        <w:t xml:space="preserve">  </w:t>
      </w:r>
      <w:r>
        <w:rPr>
          <w:rFonts w:hint="eastAsia" w:cs="宋体" w:asciiTheme="minorEastAsia" w:hAnsiTheme="minorEastAsia" w:eastAsiaTheme="minorEastAsia"/>
          <w:kern w:val="0"/>
          <w:szCs w:val="28"/>
          <w:lang w:val="en-US" w:eastAsia="zh-CN"/>
        </w:rPr>
        <w:t xml:space="preserve">                                                                      2026</w:t>
      </w:r>
      <w:r>
        <w:rPr>
          <w:rFonts w:hint="eastAsia" w:cs="宋体" w:asciiTheme="minorEastAsia" w:hAnsiTheme="minorEastAsia" w:eastAsiaTheme="minorEastAsia"/>
          <w:kern w:val="0"/>
          <w:szCs w:val="28"/>
        </w:rPr>
        <w:t>年</w:t>
      </w:r>
      <w:r>
        <w:rPr>
          <w:rFonts w:hint="eastAsia" w:cs="宋体" w:asciiTheme="minorEastAsia" w:hAnsiTheme="minorEastAsia" w:eastAsiaTheme="minorEastAsia"/>
          <w:kern w:val="0"/>
          <w:szCs w:val="28"/>
          <w:lang w:val="en-US" w:eastAsia="zh-CN"/>
        </w:rPr>
        <w:t>5</w:t>
      </w:r>
      <w:r>
        <w:rPr>
          <w:rFonts w:hint="eastAsia" w:cs="宋体" w:asciiTheme="minorEastAsia" w:hAnsiTheme="minorEastAsia" w:eastAsiaTheme="minorEastAsia"/>
          <w:kern w:val="0"/>
          <w:szCs w:val="28"/>
        </w:rPr>
        <w:t>月</w:t>
      </w:r>
      <w:r>
        <w:rPr>
          <w:rFonts w:hint="eastAsia" w:cs="宋体" w:asciiTheme="minorEastAsia" w:hAnsiTheme="minorEastAsia" w:eastAsiaTheme="minorEastAsia"/>
          <w:kern w:val="0"/>
          <w:szCs w:val="28"/>
          <w:lang w:val="en-US" w:eastAsia="zh-CN"/>
        </w:rPr>
        <w:t>22</w:t>
      </w:r>
      <w:r>
        <w:rPr>
          <w:rFonts w:hint="eastAsia" w:cs="宋体" w:asciiTheme="minorEastAsia" w:hAnsiTheme="minorEastAsia" w:eastAsiaTheme="minorEastAsia"/>
          <w:kern w:val="0"/>
          <w:szCs w:val="28"/>
        </w:rPr>
        <w:t>日</w:t>
      </w:r>
      <w:r>
        <w:rPr>
          <w:rFonts w:hint="eastAsia" w:asciiTheme="minorEastAsia" w:hAnsiTheme="minorEastAsia" w:eastAsiaTheme="minorEastAsia"/>
          <w:szCs w:val="21"/>
        </w:rPr>
        <w:br w:type="page"/>
      </w:r>
    </w:p>
    <w:p w14:paraId="30669FE9">
      <w:pPr>
        <w:pStyle w:val="3"/>
        <w:spacing w:line="360" w:lineRule="auto"/>
        <w:jc w:val="center"/>
        <w:rPr>
          <w:rFonts w:asciiTheme="minorEastAsia" w:hAnsiTheme="minorEastAsia" w:eastAsiaTheme="minorEastAsia"/>
          <w:szCs w:val="21"/>
        </w:rPr>
      </w:pPr>
      <w:bookmarkStart w:id="206" w:name="_Toc2124011742"/>
      <w:r>
        <w:rPr>
          <w:rFonts w:hint="eastAsia" w:asciiTheme="minorEastAsia" w:hAnsiTheme="minorEastAsia" w:eastAsiaTheme="minorEastAsia"/>
          <w:szCs w:val="21"/>
        </w:rPr>
        <w:t>第二章  关键信息</w:t>
      </w:r>
      <w:bookmarkEnd w:id="206"/>
    </w:p>
    <w:p w14:paraId="29349A94">
      <w:pPr>
        <w:pStyle w:val="4"/>
        <w:spacing w:line="360" w:lineRule="auto"/>
        <w:jc w:val="center"/>
        <w:rPr>
          <w:rFonts w:asciiTheme="minorEastAsia" w:hAnsiTheme="minorEastAsia" w:eastAsiaTheme="minorEastAsia"/>
          <w:sz w:val="21"/>
          <w:szCs w:val="21"/>
        </w:rPr>
      </w:pPr>
      <w:bookmarkStart w:id="207" w:name="_Toc1953756187"/>
      <w:r>
        <w:rPr>
          <w:rFonts w:hint="eastAsia" w:asciiTheme="minorEastAsia" w:hAnsiTheme="minorEastAsia" w:eastAsiaTheme="minorEastAsia"/>
          <w:sz w:val="21"/>
          <w:szCs w:val="21"/>
        </w:rPr>
        <w:t>表一、投标须知前附表</w:t>
      </w:r>
      <w:bookmarkEnd w:id="207"/>
    </w:p>
    <w:p w14:paraId="4921F3B6"/>
    <w:tbl>
      <w:tblPr>
        <w:tblStyle w:val="48"/>
        <w:tblW w:w="832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3"/>
        <w:gridCol w:w="2241"/>
        <w:gridCol w:w="5418"/>
      </w:tblGrid>
      <w:tr w14:paraId="0B9C7B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14:paraId="53311E7F">
            <w:pPr>
              <w:spacing w:line="360" w:lineRule="auto"/>
              <w:jc w:val="center"/>
              <w:rPr>
                <w:rFonts w:asciiTheme="minorEastAsia" w:hAnsiTheme="minorEastAsia" w:eastAsiaTheme="minorEastAsia"/>
                <w:b/>
                <w:bCs/>
                <w:szCs w:val="21"/>
              </w:rPr>
            </w:pPr>
            <w:bookmarkStart w:id="208" w:name="bt总则"/>
            <w:bookmarkEnd w:id="208"/>
            <w:r>
              <w:rPr>
                <w:rFonts w:hint="eastAsia" w:asciiTheme="minorEastAsia" w:hAnsiTheme="minorEastAsia" w:eastAsiaTheme="minorEastAsia"/>
                <w:b/>
                <w:bCs/>
                <w:szCs w:val="21"/>
              </w:rPr>
              <w:t>序号</w:t>
            </w:r>
          </w:p>
        </w:tc>
        <w:tc>
          <w:tcPr>
            <w:tcW w:w="2241" w:type="dxa"/>
            <w:vAlign w:val="center"/>
          </w:tcPr>
          <w:p w14:paraId="6ACC1A71">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内   容</w:t>
            </w:r>
          </w:p>
        </w:tc>
        <w:tc>
          <w:tcPr>
            <w:tcW w:w="5418" w:type="dxa"/>
            <w:vAlign w:val="center"/>
          </w:tcPr>
          <w:p w14:paraId="0E36CFEA">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说明及规定</w:t>
            </w:r>
          </w:p>
        </w:tc>
      </w:tr>
      <w:tr w14:paraId="454D23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14:paraId="010679E3">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2241" w:type="dxa"/>
            <w:vAlign w:val="center"/>
          </w:tcPr>
          <w:p w14:paraId="14A0AA0E">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项目名称</w:t>
            </w:r>
          </w:p>
        </w:tc>
        <w:tc>
          <w:tcPr>
            <w:tcW w:w="5418" w:type="dxa"/>
            <w:vAlign w:val="center"/>
          </w:tcPr>
          <w:p w14:paraId="49E4AA36">
            <w:pPr>
              <w:pStyle w:val="88"/>
              <w:widowControl/>
              <w:shd w:val="clear" w:color="auto" w:fill="FFFFFF"/>
              <w:snapToGrid w:val="0"/>
              <w:spacing w:line="360" w:lineRule="auto"/>
              <w:ind w:firstLine="0"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b/>
                <w:kern w:val="0"/>
                <w:szCs w:val="28"/>
                <w:lang w:eastAsia="zh-CN"/>
              </w:rPr>
              <w:t>深圳市科技创新战略研究中心（深圳虚拟大学园管理服务中心）2026-2027年度社会采购代理机构遴选项目</w:t>
            </w:r>
          </w:p>
        </w:tc>
      </w:tr>
      <w:tr w14:paraId="33778D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663" w:type="dxa"/>
            <w:tcBorders>
              <w:right w:val="single" w:color="auto" w:sz="4" w:space="0"/>
            </w:tcBorders>
            <w:vAlign w:val="center"/>
          </w:tcPr>
          <w:p w14:paraId="2BD6A71E">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2241" w:type="dxa"/>
            <w:vAlign w:val="center"/>
          </w:tcPr>
          <w:p w14:paraId="03F949A7">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投标人的资质（格）要求</w:t>
            </w:r>
          </w:p>
        </w:tc>
        <w:tc>
          <w:tcPr>
            <w:tcW w:w="5418" w:type="dxa"/>
            <w:vAlign w:val="center"/>
          </w:tcPr>
          <w:p w14:paraId="6D00A311">
            <w:pPr>
              <w:spacing w:line="360" w:lineRule="auto"/>
              <w:rPr>
                <w:rFonts w:asciiTheme="minorEastAsia" w:hAnsiTheme="minorEastAsia" w:eastAsiaTheme="minorEastAsia"/>
                <w:snapToGrid w:val="0"/>
                <w:kern w:val="0"/>
                <w:szCs w:val="21"/>
                <w:lang w:val="zh-CN"/>
              </w:rPr>
            </w:pPr>
            <w:r>
              <w:rPr>
                <w:rFonts w:hint="eastAsia" w:asciiTheme="minorEastAsia" w:hAnsiTheme="minorEastAsia" w:eastAsiaTheme="minorEastAsia"/>
                <w:snapToGrid w:val="0"/>
                <w:kern w:val="0"/>
                <w:szCs w:val="21"/>
                <w:lang w:val="zh-CN"/>
              </w:rPr>
              <w:t>见招标公告中有关投标人资格要求中的相关内容</w:t>
            </w:r>
          </w:p>
        </w:tc>
      </w:tr>
      <w:tr w14:paraId="5B651E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663" w:type="dxa"/>
            <w:tcBorders>
              <w:right w:val="single" w:color="auto" w:sz="4" w:space="0"/>
            </w:tcBorders>
            <w:vAlign w:val="center"/>
          </w:tcPr>
          <w:p w14:paraId="54E9EA5A">
            <w:pPr>
              <w:spacing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2241" w:type="dxa"/>
            <w:vAlign w:val="center"/>
          </w:tcPr>
          <w:p w14:paraId="2D51AD8D">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投标保证金</w:t>
            </w:r>
          </w:p>
        </w:tc>
        <w:tc>
          <w:tcPr>
            <w:tcW w:w="5418" w:type="dxa"/>
            <w:vAlign w:val="center"/>
          </w:tcPr>
          <w:p w14:paraId="68B5BF82">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szCs w:val="21"/>
                <w:lang w:val="zh-CN"/>
              </w:rPr>
              <w:t>本项目不收取投标保证金</w:t>
            </w:r>
          </w:p>
        </w:tc>
      </w:tr>
      <w:tr w14:paraId="0AA98C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14:paraId="658FFAF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2241" w:type="dxa"/>
            <w:vAlign w:val="center"/>
          </w:tcPr>
          <w:p w14:paraId="72D95220">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投标文件正副本</w:t>
            </w:r>
          </w:p>
        </w:tc>
        <w:tc>
          <w:tcPr>
            <w:tcW w:w="5418" w:type="dxa"/>
            <w:vAlign w:val="center"/>
          </w:tcPr>
          <w:p w14:paraId="45413949">
            <w:pPr>
              <w:spacing w:line="360" w:lineRule="auto"/>
              <w:rPr>
                <w:rFonts w:asciiTheme="minorEastAsia" w:hAnsiTheme="minorEastAsia" w:eastAsiaTheme="minorEastAsia"/>
                <w:snapToGrid w:val="0"/>
                <w:kern w:val="0"/>
                <w:szCs w:val="21"/>
                <w:lang w:val="zh-CN"/>
              </w:rPr>
            </w:pPr>
            <w:r>
              <w:rPr>
                <w:rFonts w:hint="eastAsia" w:asciiTheme="minorEastAsia" w:hAnsiTheme="minorEastAsia" w:eastAsiaTheme="minorEastAsia"/>
                <w:szCs w:val="21"/>
              </w:rPr>
              <w:t>正本1份、副本</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份（附电子光盘或U盘，内容采用PDF格式）</w:t>
            </w:r>
          </w:p>
        </w:tc>
      </w:tr>
      <w:tr w14:paraId="59272D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14:paraId="4BE81565">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2241" w:type="dxa"/>
            <w:vAlign w:val="center"/>
          </w:tcPr>
          <w:p w14:paraId="42214286">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服务期限</w:t>
            </w:r>
          </w:p>
        </w:tc>
        <w:tc>
          <w:tcPr>
            <w:tcW w:w="5418" w:type="dxa"/>
            <w:vAlign w:val="center"/>
          </w:tcPr>
          <w:p w14:paraId="23C940C7">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一年，具体以合同签订时间为准</w:t>
            </w:r>
            <w:r>
              <w:rPr>
                <w:rFonts w:hint="eastAsia" w:asciiTheme="minorEastAsia" w:hAnsiTheme="minorEastAsia" w:eastAsiaTheme="minorEastAsia" w:cstheme="minorBidi"/>
                <w:szCs w:val="21"/>
              </w:rPr>
              <w:t>。本项目为长期服务类项目，第一年为本次招标的中标服务期限，采购单位可根据项目需要和中标供应商的履约情况确定合同期限是否续签，但最长不超过</w:t>
            </w:r>
            <w:r>
              <w:rPr>
                <w:rFonts w:hint="eastAsia" w:asciiTheme="minorEastAsia" w:hAnsiTheme="minorEastAsia" w:eastAsiaTheme="minorEastAsia" w:cstheme="minorBidi"/>
                <w:szCs w:val="21"/>
                <w:lang w:eastAsia="zh-CN"/>
              </w:rPr>
              <w:t>三年</w:t>
            </w:r>
            <w:r>
              <w:rPr>
                <w:rFonts w:hint="eastAsia" w:asciiTheme="minorEastAsia" w:hAnsiTheme="minorEastAsia" w:eastAsiaTheme="minorEastAsia" w:cstheme="minorBidi"/>
                <w:szCs w:val="21"/>
              </w:rPr>
              <w:t>。</w:t>
            </w:r>
          </w:p>
        </w:tc>
      </w:tr>
      <w:tr w14:paraId="5C7B00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14:paraId="276926A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2241" w:type="dxa"/>
            <w:vAlign w:val="center"/>
          </w:tcPr>
          <w:p w14:paraId="3E9571D7">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评标方法</w:t>
            </w:r>
          </w:p>
        </w:tc>
        <w:tc>
          <w:tcPr>
            <w:tcW w:w="5418" w:type="dxa"/>
            <w:vAlign w:val="center"/>
          </w:tcPr>
          <w:p w14:paraId="13F986EF">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■综合评分法；口定性评审法；口最低价法</w:t>
            </w:r>
          </w:p>
          <w:p w14:paraId="6DBCAF62">
            <w:pPr>
              <w:spacing w:line="360" w:lineRule="auto"/>
              <w:rPr>
                <w:rFonts w:asciiTheme="minorEastAsia" w:hAnsiTheme="minorEastAsia" w:eastAsiaTheme="minorEastAsia"/>
                <w:snapToGrid w:val="0"/>
                <w:kern w:val="0"/>
                <w:szCs w:val="21"/>
                <w:lang w:val="zh-CN"/>
              </w:rPr>
            </w:pPr>
            <w:r>
              <w:rPr>
                <w:rFonts w:hint="eastAsia" w:asciiTheme="minorEastAsia" w:hAnsiTheme="minorEastAsia" w:eastAsiaTheme="minorEastAsia"/>
                <w:szCs w:val="21"/>
              </w:rPr>
              <w:t>具体评审细则详见第二册第二章“评标信息”</w:t>
            </w:r>
          </w:p>
        </w:tc>
      </w:tr>
      <w:tr w14:paraId="46B60E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2" w:hRule="atLeast"/>
          <w:jc w:val="center"/>
        </w:trPr>
        <w:tc>
          <w:tcPr>
            <w:tcW w:w="663" w:type="dxa"/>
            <w:tcBorders>
              <w:right w:val="single" w:color="auto" w:sz="4" w:space="0"/>
            </w:tcBorders>
            <w:vAlign w:val="center"/>
          </w:tcPr>
          <w:p w14:paraId="58CAD87F">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2241" w:type="dxa"/>
            <w:vAlign w:val="center"/>
          </w:tcPr>
          <w:p w14:paraId="676A84B8">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投标币种</w:t>
            </w:r>
          </w:p>
        </w:tc>
        <w:tc>
          <w:tcPr>
            <w:tcW w:w="5418" w:type="dxa"/>
            <w:vAlign w:val="center"/>
          </w:tcPr>
          <w:p w14:paraId="015CC062">
            <w:pPr>
              <w:spacing w:line="360" w:lineRule="auto"/>
              <w:rPr>
                <w:rFonts w:asciiTheme="minorEastAsia" w:hAnsiTheme="minorEastAsia" w:eastAsiaTheme="minorEastAsia"/>
                <w:snapToGrid w:val="0"/>
                <w:kern w:val="0"/>
                <w:szCs w:val="21"/>
                <w:lang w:val="zh-CN"/>
              </w:rPr>
            </w:pPr>
            <w:r>
              <w:rPr>
                <w:rFonts w:hint="eastAsia" w:asciiTheme="minorEastAsia" w:hAnsiTheme="minorEastAsia" w:eastAsiaTheme="minorEastAsia"/>
                <w:snapToGrid w:val="0"/>
                <w:kern w:val="0"/>
                <w:szCs w:val="21"/>
                <w:lang w:val="zh-CN"/>
              </w:rPr>
              <w:t>人民币</w:t>
            </w:r>
          </w:p>
        </w:tc>
      </w:tr>
      <w:tr w14:paraId="28B66C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14:paraId="692379DF">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2241" w:type="dxa"/>
            <w:vAlign w:val="center"/>
          </w:tcPr>
          <w:p w14:paraId="4C4FBB00">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联合体投标</w:t>
            </w:r>
          </w:p>
        </w:tc>
        <w:tc>
          <w:tcPr>
            <w:tcW w:w="5418" w:type="dxa"/>
            <w:vAlign w:val="center"/>
          </w:tcPr>
          <w:p w14:paraId="2B3BCE57">
            <w:pPr>
              <w:spacing w:line="360" w:lineRule="auto"/>
              <w:rPr>
                <w:rFonts w:asciiTheme="minorEastAsia" w:hAnsiTheme="minorEastAsia" w:eastAsiaTheme="minorEastAsia"/>
                <w:snapToGrid w:val="0"/>
                <w:kern w:val="0"/>
                <w:szCs w:val="21"/>
                <w:lang w:val="zh-CN"/>
              </w:rPr>
            </w:pPr>
            <w:r>
              <w:rPr>
                <w:rFonts w:hint="eastAsia" w:asciiTheme="minorEastAsia" w:hAnsiTheme="minorEastAsia" w:eastAsiaTheme="minorEastAsia"/>
                <w:snapToGrid w:val="0"/>
                <w:kern w:val="0"/>
                <w:szCs w:val="21"/>
                <w:lang w:val="zh-CN"/>
              </w:rPr>
              <w:t>不允许</w:t>
            </w:r>
          </w:p>
        </w:tc>
      </w:tr>
      <w:tr w14:paraId="1962D1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14:paraId="3E4DD4CD">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2241" w:type="dxa"/>
            <w:vAlign w:val="center"/>
          </w:tcPr>
          <w:p w14:paraId="227B599F">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投标有效期</w:t>
            </w:r>
          </w:p>
        </w:tc>
        <w:tc>
          <w:tcPr>
            <w:tcW w:w="5418" w:type="dxa"/>
            <w:vAlign w:val="center"/>
          </w:tcPr>
          <w:p w14:paraId="32581FE5">
            <w:pPr>
              <w:spacing w:line="360" w:lineRule="auto"/>
              <w:rPr>
                <w:rFonts w:asciiTheme="minorEastAsia" w:hAnsiTheme="minorEastAsia" w:eastAsiaTheme="minorEastAsia"/>
                <w:szCs w:val="21"/>
              </w:rPr>
            </w:pPr>
            <w:r>
              <w:rPr>
                <w:rFonts w:hint="eastAsia" w:cs="Arial" w:asciiTheme="minorEastAsia" w:hAnsiTheme="minorEastAsia" w:eastAsiaTheme="minorEastAsia"/>
                <w:szCs w:val="21"/>
              </w:rPr>
              <w:t>90个日历天（从投标截止之日算起）</w:t>
            </w:r>
          </w:p>
        </w:tc>
      </w:tr>
      <w:tr w14:paraId="6BC34F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14:paraId="17A42E41">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10</w:t>
            </w:r>
          </w:p>
        </w:tc>
        <w:tc>
          <w:tcPr>
            <w:tcW w:w="2241" w:type="dxa"/>
            <w:vAlign w:val="center"/>
          </w:tcPr>
          <w:p w14:paraId="4FB06297">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投标人的替代方案</w:t>
            </w:r>
          </w:p>
        </w:tc>
        <w:tc>
          <w:tcPr>
            <w:tcW w:w="5418" w:type="dxa"/>
            <w:vAlign w:val="center"/>
          </w:tcPr>
          <w:p w14:paraId="0A046E81">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不允许</w:t>
            </w:r>
          </w:p>
        </w:tc>
      </w:tr>
      <w:tr w14:paraId="6CBDCF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14:paraId="3E3B57FE">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11</w:t>
            </w:r>
          </w:p>
        </w:tc>
        <w:tc>
          <w:tcPr>
            <w:tcW w:w="2241" w:type="dxa"/>
            <w:vAlign w:val="center"/>
          </w:tcPr>
          <w:p w14:paraId="13A8C2EF">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购买标书时间地点</w:t>
            </w:r>
          </w:p>
        </w:tc>
        <w:tc>
          <w:tcPr>
            <w:tcW w:w="5418" w:type="dxa"/>
            <w:vAlign w:val="center"/>
          </w:tcPr>
          <w:p w14:paraId="43B35029">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详见招标公告中相关内容</w:t>
            </w:r>
          </w:p>
        </w:tc>
      </w:tr>
      <w:tr w14:paraId="108884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663" w:type="dxa"/>
            <w:tcBorders>
              <w:right w:val="single" w:color="auto" w:sz="4" w:space="0"/>
            </w:tcBorders>
            <w:vAlign w:val="center"/>
          </w:tcPr>
          <w:p w14:paraId="1A392DC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12</w:t>
            </w:r>
          </w:p>
        </w:tc>
        <w:tc>
          <w:tcPr>
            <w:tcW w:w="2241" w:type="dxa"/>
            <w:vAlign w:val="center"/>
          </w:tcPr>
          <w:p w14:paraId="5F7641AA">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现场踏勘</w:t>
            </w:r>
          </w:p>
        </w:tc>
        <w:tc>
          <w:tcPr>
            <w:tcW w:w="5418" w:type="dxa"/>
            <w:vAlign w:val="center"/>
          </w:tcPr>
          <w:p w14:paraId="0882327D">
            <w:pPr>
              <w:pStyle w:val="83"/>
              <w:tabs>
                <w:tab w:val="left" w:pos="1260"/>
              </w:tabs>
              <w:spacing w:line="360" w:lineRule="auto"/>
              <w:jc w:val="both"/>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本项目是否组织供应商进行现场踏勘： 口是 ■否</w:t>
            </w:r>
          </w:p>
          <w:p w14:paraId="66A5E7CD">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时间、地址、联系人、联系方式等</w:t>
            </w:r>
          </w:p>
        </w:tc>
      </w:tr>
      <w:tr w14:paraId="0C08C9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663" w:type="dxa"/>
            <w:tcBorders>
              <w:right w:val="single" w:color="auto" w:sz="4" w:space="0"/>
            </w:tcBorders>
            <w:vAlign w:val="center"/>
          </w:tcPr>
          <w:p w14:paraId="5D123D28">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13</w:t>
            </w:r>
          </w:p>
        </w:tc>
        <w:tc>
          <w:tcPr>
            <w:tcW w:w="2241" w:type="dxa"/>
            <w:vAlign w:val="center"/>
          </w:tcPr>
          <w:p w14:paraId="12561498">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现场答疑会</w:t>
            </w:r>
          </w:p>
        </w:tc>
        <w:tc>
          <w:tcPr>
            <w:tcW w:w="5418" w:type="dxa"/>
            <w:vAlign w:val="center"/>
          </w:tcPr>
          <w:p w14:paraId="2CB44C8C">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本项目不安排现场答疑</w:t>
            </w:r>
          </w:p>
        </w:tc>
      </w:tr>
      <w:tr w14:paraId="33AE8D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14:paraId="66045776">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14</w:t>
            </w:r>
          </w:p>
        </w:tc>
        <w:tc>
          <w:tcPr>
            <w:tcW w:w="2241" w:type="dxa"/>
            <w:vAlign w:val="center"/>
          </w:tcPr>
          <w:p w14:paraId="47C6A566">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采购人对招标文件的澄清或修改、答疑的期限</w:t>
            </w:r>
          </w:p>
        </w:tc>
        <w:tc>
          <w:tcPr>
            <w:tcW w:w="5418" w:type="dxa"/>
            <w:vAlign w:val="center"/>
          </w:tcPr>
          <w:p w14:paraId="38C3F538">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投标人有义务在招标期间在“ </w:t>
            </w:r>
            <w:r>
              <w:rPr>
                <w:rFonts w:hint="eastAsia" w:asciiTheme="minorEastAsia" w:hAnsiTheme="minorEastAsia" w:eastAsiaTheme="minorEastAsia"/>
                <w:szCs w:val="21"/>
                <w:lang w:val="en-US" w:eastAsia="zh-CN"/>
              </w:rPr>
              <w:t>深圳市科技创新战略研究中心（深圳虚拟大学园管理服务中心）</w:t>
            </w:r>
            <w:r>
              <w:rPr>
                <w:rFonts w:hint="eastAsia" w:asciiTheme="minorEastAsia" w:hAnsiTheme="minorEastAsia" w:eastAsiaTheme="minorEastAsia"/>
                <w:szCs w:val="21"/>
              </w:rPr>
              <w:t>官方网站</w:t>
            </w:r>
            <w:r>
              <w:rPr>
                <w:rFonts w:hint="eastAsia" w:asciiTheme="minorEastAsia" w:hAnsiTheme="minorEastAsia" w:eastAsiaTheme="minorEastAsia"/>
                <w:szCs w:val="21"/>
                <w:lang w:val="en-US" w:eastAsia="zh-CN"/>
              </w:rPr>
              <w:t>www.szvup.com</w:t>
            </w:r>
            <w:r>
              <w:rPr>
                <w:rFonts w:hint="eastAsia" w:asciiTheme="minorEastAsia" w:hAnsiTheme="minorEastAsia" w:eastAsiaTheme="minorEastAsia"/>
                <w:szCs w:val="21"/>
              </w:rPr>
              <w:t>”浏览有关本项目的补充公告等信息</w:t>
            </w:r>
          </w:p>
        </w:tc>
      </w:tr>
      <w:tr w14:paraId="6D4526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14:paraId="1CFB5F74">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15</w:t>
            </w:r>
          </w:p>
        </w:tc>
        <w:tc>
          <w:tcPr>
            <w:tcW w:w="2241" w:type="dxa"/>
            <w:vAlign w:val="center"/>
          </w:tcPr>
          <w:p w14:paraId="212A85E8">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投标文件的投递地址</w:t>
            </w:r>
          </w:p>
        </w:tc>
        <w:tc>
          <w:tcPr>
            <w:tcW w:w="5418" w:type="dxa"/>
            <w:vAlign w:val="center"/>
          </w:tcPr>
          <w:p w14:paraId="3E2B4D5C">
            <w:pPr>
              <w:widowControl/>
              <w:shd w:val="clear" w:color="auto" w:fill="FFFFFF"/>
              <w:snapToGrid w:val="0"/>
              <w:spacing w:line="360" w:lineRule="auto"/>
              <w:jc w:val="lef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eastAsia="zh-CN"/>
              </w:rPr>
              <w:t>广东省深圳市南山区粤海街道深圳虚拟大学园</w:t>
            </w:r>
            <w:r>
              <w:rPr>
                <w:rFonts w:hint="eastAsia" w:asciiTheme="minorEastAsia" w:hAnsiTheme="minorEastAsia" w:eastAsiaTheme="minorEastAsia"/>
                <w:szCs w:val="21"/>
                <w:lang w:val="en-US" w:eastAsia="zh-CN"/>
              </w:rPr>
              <w:t>R4大楼B309</w:t>
            </w:r>
          </w:p>
        </w:tc>
      </w:tr>
      <w:tr w14:paraId="6C6858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14:paraId="5CB3207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16</w:t>
            </w:r>
          </w:p>
        </w:tc>
        <w:tc>
          <w:tcPr>
            <w:tcW w:w="2241" w:type="dxa"/>
            <w:vAlign w:val="center"/>
          </w:tcPr>
          <w:p w14:paraId="7B73EC0E">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投标截止时间</w:t>
            </w:r>
          </w:p>
        </w:tc>
        <w:tc>
          <w:tcPr>
            <w:tcW w:w="5418" w:type="dxa"/>
            <w:vAlign w:val="center"/>
          </w:tcPr>
          <w:p w14:paraId="3329D8CE">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详见招标公告中相关内容</w:t>
            </w:r>
          </w:p>
        </w:tc>
      </w:tr>
      <w:tr w14:paraId="42C606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14:paraId="3EF8C62E">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17</w:t>
            </w:r>
          </w:p>
        </w:tc>
        <w:tc>
          <w:tcPr>
            <w:tcW w:w="2241" w:type="dxa"/>
            <w:vAlign w:val="center"/>
          </w:tcPr>
          <w:p w14:paraId="19E22E60">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开标时间和地点</w:t>
            </w:r>
          </w:p>
        </w:tc>
        <w:tc>
          <w:tcPr>
            <w:tcW w:w="5418" w:type="dxa"/>
            <w:vAlign w:val="center"/>
          </w:tcPr>
          <w:p w14:paraId="6A5E637A">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详见招标公告中相关内容</w:t>
            </w:r>
          </w:p>
        </w:tc>
      </w:tr>
      <w:tr w14:paraId="79F9EA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63" w:type="dxa"/>
            <w:tcBorders>
              <w:right w:val="single" w:color="auto" w:sz="4" w:space="0"/>
            </w:tcBorders>
            <w:vAlign w:val="center"/>
          </w:tcPr>
          <w:p w14:paraId="3C04E5E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18</w:t>
            </w:r>
          </w:p>
        </w:tc>
        <w:tc>
          <w:tcPr>
            <w:tcW w:w="2241" w:type="dxa"/>
            <w:vAlign w:val="center"/>
          </w:tcPr>
          <w:p w14:paraId="51C1ABB7">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履约担保金额</w:t>
            </w:r>
          </w:p>
        </w:tc>
        <w:tc>
          <w:tcPr>
            <w:tcW w:w="5418" w:type="dxa"/>
            <w:vAlign w:val="center"/>
          </w:tcPr>
          <w:p w14:paraId="3B0EB56F">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无</w:t>
            </w:r>
          </w:p>
        </w:tc>
      </w:tr>
    </w:tbl>
    <w:p w14:paraId="60130666">
      <w:pPr>
        <w:widowControl/>
        <w:spacing w:line="360" w:lineRule="auto"/>
        <w:jc w:val="left"/>
        <w:rPr>
          <w:rFonts w:asciiTheme="minorEastAsia" w:hAnsiTheme="minorEastAsia" w:eastAsiaTheme="minorEastAsia"/>
          <w:b/>
          <w:bCs/>
          <w:szCs w:val="21"/>
        </w:rPr>
      </w:pPr>
    </w:p>
    <w:p w14:paraId="40DD0A59">
      <w:pPr>
        <w:pStyle w:val="47"/>
        <w:numPr>
          <w:ilvl w:val="0"/>
          <w:numId w:val="0"/>
        </w:numPr>
      </w:pPr>
    </w:p>
    <w:p w14:paraId="66F8AD36">
      <w:pPr>
        <w:pStyle w:val="47"/>
        <w:numPr>
          <w:ilvl w:val="0"/>
          <w:numId w:val="0"/>
        </w:numPr>
      </w:pPr>
    </w:p>
    <w:p w14:paraId="4C22124F">
      <w:pPr>
        <w:pStyle w:val="47"/>
        <w:numPr>
          <w:ilvl w:val="0"/>
          <w:numId w:val="0"/>
        </w:numPr>
      </w:pPr>
    </w:p>
    <w:p w14:paraId="2FF62526">
      <w:pPr>
        <w:pStyle w:val="47"/>
        <w:numPr>
          <w:ilvl w:val="0"/>
          <w:numId w:val="0"/>
        </w:numPr>
      </w:pPr>
    </w:p>
    <w:p w14:paraId="56542D39">
      <w:pPr>
        <w:pStyle w:val="47"/>
        <w:numPr>
          <w:ilvl w:val="0"/>
          <w:numId w:val="0"/>
        </w:numPr>
      </w:pPr>
    </w:p>
    <w:p w14:paraId="60EBE59A">
      <w:pPr>
        <w:pStyle w:val="47"/>
        <w:numPr>
          <w:ilvl w:val="0"/>
          <w:numId w:val="0"/>
        </w:numPr>
      </w:pPr>
    </w:p>
    <w:p w14:paraId="5742F92C">
      <w:pPr>
        <w:pStyle w:val="47"/>
        <w:numPr>
          <w:ilvl w:val="0"/>
          <w:numId w:val="0"/>
        </w:numPr>
      </w:pPr>
    </w:p>
    <w:p w14:paraId="05156D9D">
      <w:pPr>
        <w:pStyle w:val="47"/>
        <w:numPr>
          <w:ilvl w:val="0"/>
          <w:numId w:val="0"/>
        </w:numPr>
      </w:pPr>
    </w:p>
    <w:p w14:paraId="4CB9025C">
      <w:pPr>
        <w:pStyle w:val="47"/>
        <w:numPr>
          <w:ilvl w:val="0"/>
          <w:numId w:val="0"/>
        </w:numPr>
      </w:pPr>
    </w:p>
    <w:p w14:paraId="552B03AB">
      <w:pPr>
        <w:pStyle w:val="47"/>
        <w:numPr>
          <w:ilvl w:val="0"/>
          <w:numId w:val="0"/>
        </w:numPr>
      </w:pPr>
    </w:p>
    <w:p w14:paraId="11CC669E">
      <w:pPr>
        <w:pStyle w:val="47"/>
        <w:numPr>
          <w:ilvl w:val="0"/>
          <w:numId w:val="0"/>
        </w:numPr>
      </w:pPr>
    </w:p>
    <w:p w14:paraId="17D1B3AF">
      <w:pPr>
        <w:pStyle w:val="47"/>
        <w:numPr>
          <w:ilvl w:val="0"/>
          <w:numId w:val="0"/>
        </w:numPr>
      </w:pPr>
    </w:p>
    <w:p w14:paraId="0CA3873C">
      <w:pPr>
        <w:pStyle w:val="47"/>
        <w:numPr>
          <w:ilvl w:val="0"/>
          <w:numId w:val="0"/>
        </w:numPr>
      </w:pPr>
    </w:p>
    <w:p w14:paraId="29DC4895">
      <w:pPr>
        <w:pStyle w:val="47"/>
        <w:numPr>
          <w:ilvl w:val="0"/>
          <w:numId w:val="0"/>
        </w:numPr>
      </w:pPr>
    </w:p>
    <w:p w14:paraId="3650FA1F">
      <w:pPr>
        <w:pStyle w:val="47"/>
        <w:numPr>
          <w:ilvl w:val="0"/>
          <w:numId w:val="0"/>
        </w:numPr>
      </w:pPr>
    </w:p>
    <w:p w14:paraId="629F7FCA">
      <w:pPr>
        <w:pStyle w:val="47"/>
        <w:numPr>
          <w:ilvl w:val="0"/>
          <w:numId w:val="0"/>
        </w:numPr>
      </w:pPr>
    </w:p>
    <w:p w14:paraId="39BCC2DC">
      <w:pPr>
        <w:pStyle w:val="47"/>
        <w:numPr>
          <w:ilvl w:val="0"/>
          <w:numId w:val="0"/>
        </w:numPr>
      </w:pPr>
    </w:p>
    <w:p w14:paraId="3BBDAEC1">
      <w:pPr>
        <w:pStyle w:val="47"/>
        <w:numPr>
          <w:ilvl w:val="0"/>
          <w:numId w:val="0"/>
        </w:numPr>
      </w:pPr>
    </w:p>
    <w:p w14:paraId="334CC454">
      <w:pPr>
        <w:pStyle w:val="47"/>
        <w:numPr>
          <w:ilvl w:val="0"/>
          <w:numId w:val="0"/>
        </w:numPr>
      </w:pPr>
    </w:p>
    <w:p w14:paraId="28419126">
      <w:pPr>
        <w:widowControl/>
        <w:jc w:val="left"/>
        <w:rPr>
          <w:rFonts w:asciiTheme="minorEastAsia" w:hAnsiTheme="minorEastAsia" w:eastAsiaTheme="minorEastAsia"/>
          <w:b/>
          <w:bCs/>
          <w:sz w:val="32"/>
          <w:szCs w:val="21"/>
        </w:rPr>
      </w:pPr>
      <w:r>
        <w:rPr>
          <w:rFonts w:asciiTheme="minorEastAsia" w:hAnsiTheme="minorEastAsia" w:eastAsiaTheme="minorEastAsia"/>
          <w:szCs w:val="21"/>
        </w:rPr>
        <w:br w:type="page"/>
      </w:r>
    </w:p>
    <w:p w14:paraId="2E65D0E8">
      <w:pPr>
        <w:pStyle w:val="4"/>
        <w:spacing w:line="360" w:lineRule="auto"/>
        <w:jc w:val="center"/>
        <w:rPr>
          <w:rFonts w:asciiTheme="minorEastAsia" w:hAnsiTheme="minorEastAsia" w:eastAsiaTheme="minorEastAsia"/>
          <w:szCs w:val="21"/>
        </w:rPr>
      </w:pPr>
      <w:bookmarkStart w:id="209" w:name="_Toc949190793"/>
      <w:r>
        <w:rPr>
          <w:rFonts w:hint="eastAsia" w:asciiTheme="minorEastAsia" w:hAnsiTheme="minorEastAsia" w:eastAsiaTheme="minorEastAsia"/>
          <w:szCs w:val="21"/>
        </w:rPr>
        <w:t>表二、投标文件初审表</w:t>
      </w:r>
      <w:bookmarkEnd w:id="209"/>
    </w:p>
    <w:tbl>
      <w:tblPr>
        <w:tblStyle w:val="4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7543"/>
      </w:tblGrid>
      <w:tr w14:paraId="2063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tcBorders>
              <w:top w:val="single" w:color="auto" w:sz="4" w:space="0"/>
              <w:left w:val="single" w:color="auto" w:sz="4" w:space="0"/>
              <w:bottom w:val="single" w:color="auto" w:sz="4" w:space="0"/>
              <w:right w:val="single" w:color="auto" w:sz="4" w:space="0"/>
            </w:tcBorders>
            <w:vAlign w:val="center"/>
          </w:tcPr>
          <w:p w14:paraId="3B47D03D">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资格性检查表</w:t>
            </w:r>
          </w:p>
        </w:tc>
      </w:tr>
      <w:tr w14:paraId="5F56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op w:val="single" w:color="auto" w:sz="4" w:space="0"/>
              <w:left w:val="single" w:color="auto" w:sz="4" w:space="0"/>
              <w:bottom w:val="single" w:color="auto" w:sz="4" w:space="0"/>
              <w:right w:val="single" w:color="auto" w:sz="4" w:space="0"/>
            </w:tcBorders>
            <w:vAlign w:val="center"/>
          </w:tcPr>
          <w:p w14:paraId="5BE0332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7543" w:type="dxa"/>
            <w:tcBorders>
              <w:top w:val="single" w:color="auto" w:sz="4" w:space="0"/>
              <w:left w:val="single" w:color="auto" w:sz="4" w:space="0"/>
              <w:bottom w:val="single" w:color="auto" w:sz="4" w:space="0"/>
              <w:right w:val="single" w:color="auto" w:sz="4" w:space="0"/>
            </w:tcBorders>
            <w:vAlign w:val="center"/>
          </w:tcPr>
          <w:p w14:paraId="17997DB5">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检查内容</w:t>
            </w:r>
          </w:p>
        </w:tc>
      </w:tr>
      <w:tr w14:paraId="7C03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op w:val="single" w:color="auto" w:sz="4" w:space="0"/>
              <w:left w:val="single" w:color="auto" w:sz="4" w:space="0"/>
              <w:bottom w:val="single" w:color="auto" w:sz="4" w:space="0"/>
              <w:right w:val="single" w:color="auto" w:sz="4" w:space="0"/>
            </w:tcBorders>
            <w:vAlign w:val="center"/>
          </w:tcPr>
          <w:p w14:paraId="73A4801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7543" w:type="dxa"/>
            <w:tcBorders>
              <w:top w:val="single" w:color="auto" w:sz="4" w:space="0"/>
              <w:left w:val="single" w:color="auto" w:sz="4" w:space="0"/>
              <w:bottom w:val="single" w:color="auto" w:sz="4" w:space="0"/>
              <w:right w:val="single" w:color="auto" w:sz="4" w:space="0"/>
            </w:tcBorders>
            <w:vAlign w:val="center"/>
          </w:tcPr>
          <w:p w14:paraId="5706014D">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投标人须提供营业执照复印件并加盖投标人公章 </w:t>
            </w:r>
          </w:p>
        </w:tc>
      </w:tr>
      <w:tr w14:paraId="75B1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op w:val="single" w:color="auto" w:sz="4" w:space="0"/>
              <w:left w:val="single" w:color="auto" w:sz="4" w:space="0"/>
              <w:bottom w:val="single" w:color="auto" w:sz="4" w:space="0"/>
              <w:right w:val="single" w:color="auto" w:sz="4" w:space="0"/>
            </w:tcBorders>
            <w:vAlign w:val="center"/>
          </w:tcPr>
          <w:p w14:paraId="68C9C6E3">
            <w:pPr>
              <w:spacing w:line="360" w:lineRule="auto"/>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w:t>
            </w:r>
          </w:p>
        </w:tc>
        <w:tc>
          <w:tcPr>
            <w:tcW w:w="7543" w:type="dxa"/>
            <w:tcBorders>
              <w:top w:val="single" w:color="auto" w:sz="4" w:space="0"/>
              <w:left w:val="single" w:color="auto" w:sz="4" w:space="0"/>
              <w:bottom w:val="single" w:color="auto" w:sz="4" w:space="0"/>
              <w:right w:val="single" w:color="auto" w:sz="4" w:space="0"/>
            </w:tcBorders>
            <w:vAlign w:val="center"/>
          </w:tcPr>
          <w:p w14:paraId="2B3906CC">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投标人须符合《深圳市政府采购代理机构</w:t>
            </w:r>
            <w:r>
              <w:rPr>
                <w:rFonts w:hint="eastAsia" w:asciiTheme="minorEastAsia" w:hAnsiTheme="minorEastAsia" w:eastAsiaTheme="minorEastAsia"/>
                <w:szCs w:val="21"/>
                <w:lang w:eastAsia="zh-CN"/>
              </w:rPr>
              <w:t>监督</w:t>
            </w:r>
            <w:r>
              <w:rPr>
                <w:rFonts w:hint="eastAsia" w:asciiTheme="minorEastAsia" w:hAnsiTheme="minorEastAsia" w:eastAsiaTheme="minorEastAsia"/>
                <w:szCs w:val="21"/>
              </w:rPr>
              <w:t>管理实施办法》要求且已经纳入深圳市政府采购代理机构从业名录</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提供从业名录公示截图并加盖投标人公章</w:t>
            </w:r>
          </w:p>
        </w:tc>
      </w:tr>
      <w:tr w14:paraId="5250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op w:val="single" w:color="auto" w:sz="4" w:space="0"/>
              <w:left w:val="single" w:color="auto" w:sz="4" w:space="0"/>
              <w:bottom w:val="single" w:color="auto" w:sz="4" w:space="0"/>
              <w:right w:val="single" w:color="auto" w:sz="4" w:space="0"/>
            </w:tcBorders>
            <w:vAlign w:val="center"/>
          </w:tcPr>
          <w:p w14:paraId="77E96CAC">
            <w:pPr>
              <w:spacing w:line="360" w:lineRule="auto"/>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w:t>
            </w:r>
          </w:p>
        </w:tc>
        <w:tc>
          <w:tcPr>
            <w:tcW w:w="7543" w:type="dxa"/>
            <w:tcBorders>
              <w:top w:val="single" w:color="auto" w:sz="4" w:space="0"/>
              <w:left w:val="single" w:color="auto" w:sz="4" w:space="0"/>
              <w:bottom w:val="single" w:color="auto" w:sz="4" w:space="0"/>
              <w:right w:val="single" w:color="auto" w:sz="4" w:space="0"/>
            </w:tcBorders>
            <w:vAlign w:val="center"/>
          </w:tcPr>
          <w:p w14:paraId="367A5BE8">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投标人须自行承诺，参与本项目投标前三年内（成立不足三年的从成立之日起算），在经营活动中没有重大违法记录，无行贿犯罪记录，参与本项目政府采购活动时不存在被有关部门禁止参与政府采购活动且在有效期内的情况，与其他投标人不存在单位负责人为同一人或者存在直接控股、管理关系，提供书面声明并加盖投标人公章（格式详见招标文件“投标文件的格式、附件”）</w:t>
            </w:r>
          </w:p>
        </w:tc>
      </w:tr>
      <w:tr w14:paraId="2ED0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op w:val="single" w:color="auto" w:sz="4" w:space="0"/>
              <w:left w:val="single" w:color="auto" w:sz="4" w:space="0"/>
              <w:bottom w:val="single" w:color="auto" w:sz="4" w:space="0"/>
              <w:right w:val="single" w:color="auto" w:sz="4" w:space="0"/>
            </w:tcBorders>
            <w:vAlign w:val="center"/>
          </w:tcPr>
          <w:p w14:paraId="179FA5D8">
            <w:pPr>
              <w:spacing w:line="360" w:lineRule="auto"/>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w:t>
            </w:r>
          </w:p>
        </w:tc>
        <w:tc>
          <w:tcPr>
            <w:tcW w:w="7543" w:type="dxa"/>
            <w:tcBorders>
              <w:top w:val="single" w:color="auto" w:sz="4" w:space="0"/>
              <w:left w:val="single" w:color="auto" w:sz="4" w:space="0"/>
              <w:bottom w:val="single" w:color="auto" w:sz="4" w:space="0"/>
              <w:right w:val="single" w:color="auto" w:sz="4" w:space="0"/>
            </w:tcBorders>
            <w:vAlign w:val="center"/>
          </w:tcPr>
          <w:p w14:paraId="48C83B7A">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投标截止时间前，投标人须提供在中国政府采购网“政府采购严重违法失信行为记录管理系统” （http://www.ccgp.gov.cn/search/cr/) 中输入投标人全名查找并显示无相关记录的网页截图并加盖投标人公章</w:t>
            </w:r>
          </w:p>
        </w:tc>
      </w:tr>
      <w:tr w14:paraId="4447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op w:val="single" w:color="auto" w:sz="4" w:space="0"/>
              <w:left w:val="single" w:color="auto" w:sz="4" w:space="0"/>
              <w:bottom w:val="single" w:color="auto" w:sz="4" w:space="0"/>
              <w:right w:val="single" w:color="auto" w:sz="4" w:space="0"/>
            </w:tcBorders>
            <w:vAlign w:val="center"/>
          </w:tcPr>
          <w:p w14:paraId="1FE0A0CE">
            <w:pPr>
              <w:spacing w:line="360" w:lineRule="auto"/>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w:t>
            </w:r>
          </w:p>
        </w:tc>
        <w:tc>
          <w:tcPr>
            <w:tcW w:w="7543" w:type="dxa"/>
            <w:tcBorders>
              <w:top w:val="single" w:color="auto" w:sz="4" w:space="0"/>
              <w:left w:val="single" w:color="auto" w:sz="4" w:space="0"/>
              <w:bottom w:val="single" w:color="auto" w:sz="4" w:space="0"/>
              <w:right w:val="single" w:color="auto" w:sz="4" w:space="0"/>
            </w:tcBorders>
            <w:vAlign w:val="center"/>
          </w:tcPr>
          <w:p w14:paraId="241F4704">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本项目不接受联合体投标，不允许转包、分包</w:t>
            </w:r>
          </w:p>
        </w:tc>
      </w:tr>
    </w:tbl>
    <w:p w14:paraId="1F71BC24">
      <w:pPr>
        <w:widowControl/>
        <w:spacing w:line="360" w:lineRule="auto"/>
        <w:jc w:val="center"/>
        <w:rPr>
          <w:rFonts w:asciiTheme="minorEastAsia" w:hAnsiTheme="minorEastAsia" w:eastAsiaTheme="minorEastAsia"/>
          <w:b/>
          <w:szCs w:val="21"/>
        </w:rPr>
      </w:pPr>
    </w:p>
    <w:p w14:paraId="070F0F99">
      <w:pPr>
        <w:widowControl/>
        <w:jc w:val="left"/>
        <w:rPr>
          <w:rFonts w:asciiTheme="minorEastAsia" w:hAnsiTheme="minorEastAsia" w:eastAsiaTheme="minorEastAsia"/>
          <w:b/>
          <w:bCs/>
          <w:szCs w:val="21"/>
        </w:rPr>
      </w:pPr>
      <w:r>
        <w:rPr>
          <w:rFonts w:hint="eastAsia" w:asciiTheme="minorEastAsia" w:hAnsiTheme="minorEastAsia" w:eastAsiaTheme="minorEastAsia"/>
          <w:szCs w:val="21"/>
        </w:rPr>
        <w:br w:type="page"/>
      </w:r>
    </w:p>
    <w:p w14:paraId="7E1615C1">
      <w:pPr>
        <w:pStyle w:val="4"/>
        <w:spacing w:line="360" w:lineRule="auto"/>
        <w:jc w:val="center"/>
        <w:rPr>
          <w:rFonts w:asciiTheme="minorEastAsia" w:hAnsiTheme="minorEastAsia" w:eastAsiaTheme="minorEastAsia"/>
          <w:szCs w:val="21"/>
        </w:rPr>
      </w:pPr>
      <w:bookmarkStart w:id="210" w:name="_Toc133164234"/>
      <w:r>
        <w:rPr>
          <w:rFonts w:hint="eastAsia" w:asciiTheme="minorEastAsia" w:hAnsiTheme="minorEastAsia" w:eastAsiaTheme="minorEastAsia"/>
          <w:szCs w:val="21"/>
        </w:rPr>
        <w:t>表三、评标信息</w:t>
      </w:r>
      <w:bookmarkEnd w:id="210"/>
    </w:p>
    <w:p w14:paraId="795B3866">
      <w:pPr>
        <w:spacing w:before="156" w:beforeLines="50" w:after="156" w:afterLines="50" w:line="360" w:lineRule="auto"/>
        <w:ind w:firstLine="411" w:firstLineChars="196"/>
        <w:jc w:val="left"/>
        <w:rPr>
          <w:rFonts w:asciiTheme="minorEastAsia" w:hAnsiTheme="minorEastAsia" w:eastAsiaTheme="minorEastAsia"/>
          <w:bCs/>
          <w:szCs w:val="21"/>
        </w:rPr>
      </w:pPr>
      <w:r>
        <w:rPr>
          <w:rFonts w:hint="eastAsia" w:asciiTheme="minorEastAsia" w:hAnsiTheme="minorEastAsia" w:eastAsiaTheme="minorEastAsia"/>
          <w:bCs/>
          <w:szCs w:val="21"/>
        </w:rPr>
        <w:t>本次评标采用“综合评分法”，按照招标文件中规定的各项因素进行量化打分，以评标总得分前</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3</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rPr>
        <w:t>名的投标人为中标人。确定中标供应商按评审后得分由高到低顺序排列。得分相同的，按招标采购实施方案</w:t>
      </w:r>
      <w:r>
        <w:rPr>
          <w:rFonts w:hint="eastAsia" w:asciiTheme="minorEastAsia" w:hAnsiTheme="minorEastAsia" w:eastAsiaTheme="minorEastAsia"/>
          <w:bCs/>
          <w:szCs w:val="21"/>
          <w:lang w:eastAsia="zh-CN"/>
        </w:rPr>
        <w:t>得分</w:t>
      </w:r>
      <w:r>
        <w:rPr>
          <w:rFonts w:hint="eastAsia" w:asciiTheme="minorEastAsia" w:hAnsiTheme="minorEastAsia" w:eastAsiaTheme="minorEastAsia"/>
          <w:bCs/>
          <w:szCs w:val="21"/>
        </w:rPr>
        <w:t>优劣顺序排列。</w:t>
      </w:r>
    </w:p>
    <w:p w14:paraId="0A459CF9">
      <w:pPr>
        <w:spacing w:before="156" w:beforeLines="50" w:after="156" w:afterLines="50" w:line="360" w:lineRule="auto"/>
        <w:ind w:firstLine="411" w:firstLineChars="196"/>
        <w:jc w:val="left"/>
        <w:rPr>
          <w:rFonts w:asciiTheme="minorEastAsia" w:hAnsiTheme="minorEastAsia" w:eastAsiaTheme="minorEastAsia"/>
          <w:szCs w:val="21"/>
        </w:rPr>
      </w:pPr>
      <w:r>
        <w:rPr>
          <w:rFonts w:hint="eastAsia" w:asciiTheme="minorEastAsia" w:hAnsiTheme="minorEastAsia" w:eastAsiaTheme="minorEastAsia"/>
          <w:bCs/>
          <w:szCs w:val="21"/>
          <w:lang w:eastAsia="zh-CN"/>
        </w:rPr>
        <w:t>中心招标小组</w:t>
      </w:r>
      <w:r>
        <w:rPr>
          <w:rFonts w:hint="eastAsia" w:asciiTheme="minorEastAsia" w:hAnsiTheme="minorEastAsia" w:eastAsiaTheme="minorEastAsia"/>
          <w:bCs/>
          <w:szCs w:val="21"/>
        </w:rPr>
        <w:t>对每个通过资格性检查和符合性检查的投标供应商进行评审、打分，然后汇总每个投标供应商每项评分因素的评分。</w:t>
      </w:r>
      <w:r>
        <w:rPr>
          <w:rFonts w:hint="eastAsia" w:asciiTheme="minorEastAsia" w:hAnsiTheme="minorEastAsia" w:eastAsiaTheme="minorEastAsia"/>
          <w:bCs/>
          <w:szCs w:val="21"/>
          <w:lang w:eastAsia="zh-CN"/>
        </w:rPr>
        <w:t>中心招标小组</w:t>
      </w:r>
      <w:r>
        <w:rPr>
          <w:rFonts w:hint="eastAsia" w:asciiTheme="minorEastAsia" w:hAnsiTheme="minorEastAsia" w:eastAsiaTheme="minorEastAsia"/>
          <w:bCs/>
          <w:szCs w:val="21"/>
        </w:rPr>
        <w:t>在评标时，按照以下量化的评审因素，对进入该阶段评审的各投标文件进行分析和比较：</w:t>
      </w:r>
    </w:p>
    <w:p w14:paraId="2D963D74">
      <w:pPr>
        <w:spacing w:before="156" w:beforeLines="50" w:after="156" w:afterLines="50"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评分细则表</w:t>
      </w:r>
    </w:p>
    <w:tbl>
      <w:tblPr>
        <w:tblStyle w:val="49"/>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851"/>
        <w:gridCol w:w="1984"/>
        <w:gridCol w:w="851"/>
        <w:gridCol w:w="5670"/>
      </w:tblGrid>
      <w:tr w14:paraId="6879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43F0776">
            <w:pPr>
              <w:jc w:val="center"/>
              <w:rPr>
                <w:rFonts w:hint="eastAsia" w:ascii="华文仿宋" w:hAnsi="华文仿宋" w:eastAsia="华文仿宋" w:cs="华文仿宋"/>
              </w:rPr>
            </w:pPr>
            <w:r>
              <w:rPr>
                <w:rFonts w:hint="eastAsia" w:ascii="华文仿宋" w:hAnsi="华文仿宋" w:eastAsia="华文仿宋" w:cs="华文仿宋"/>
                <w:kern w:val="0"/>
                <w:szCs w:val="21"/>
              </w:rPr>
              <w:t>序号</w:t>
            </w:r>
          </w:p>
        </w:tc>
        <w:tc>
          <w:tcPr>
            <w:tcW w:w="2835" w:type="dxa"/>
            <w:gridSpan w:val="2"/>
            <w:vAlign w:val="center"/>
          </w:tcPr>
          <w:p w14:paraId="081B2B48">
            <w:pPr>
              <w:jc w:val="center"/>
              <w:rPr>
                <w:rFonts w:hint="eastAsia" w:ascii="华文仿宋" w:hAnsi="华文仿宋" w:eastAsia="华文仿宋" w:cs="华文仿宋"/>
              </w:rPr>
            </w:pPr>
            <w:r>
              <w:rPr>
                <w:rFonts w:hint="eastAsia" w:ascii="华文仿宋" w:hAnsi="华文仿宋" w:eastAsia="华文仿宋" w:cs="华文仿宋"/>
                <w:kern w:val="0"/>
                <w:szCs w:val="21"/>
              </w:rPr>
              <w:t>评分项</w:t>
            </w:r>
          </w:p>
        </w:tc>
        <w:tc>
          <w:tcPr>
            <w:tcW w:w="6521" w:type="dxa"/>
            <w:gridSpan w:val="2"/>
            <w:vAlign w:val="center"/>
          </w:tcPr>
          <w:p w14:paraId="31ABA20A">
            <w:pPr>
              <w:jc w:val="center"/>
              <w:rPr>
                <w:rFonts w:hint="eastAsia" w:ascii="华文仿宋" w:hAnsi="华文仿宋" w:eastAsia="华文仿宋" w:cs="华文仿宋"/>
              </w:rPr>
            </w:pPr>
            <w:r>
              <w:rPr>
                <w:rFonts w:hint="eastAsia" w:ascii="华文仿宋" w:hAnsi="华文仿宋" w:eastAsia="华文仿宋" w:cs="华文仿宋"/>
                <w:kern w:val="0"/>
                <w:szCs w:val="21"/>
              </w:rPr>
              <w:t>权重</w:t>
            </w:r>
          </w:p>
        </w:tc>
      </w:tr>
      <w:tr w14:paraId="5962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4D6CCBA">
            <w:pPr>
              <w:jc w:val="center"/>
              <w:rPr>
                <w:rFonts w:hint="eastAsia" w:ascii="华文仿宋" w:hAnsi="华文仿宋" w:eastAsia="华文仿宋" w:cs="华文仿宋"/>
                <w:b/>
              </w:rPr>
            </w:pPr>
            <w:r>
              <w:rPr>
                <w:rFonts w:hint="eastAsia" w:ascii="华文仿宋" w:hAnsi="华文仿宋" w:eastAsia="华文仿宋" w:cs="华文仿宋"/>
                <w:b/>
              </w:rPr>
              <w:t>1</w:t>
            </w:r>
          </w:p>
        </w:tc>
        <w:tc>
          <w:tcPr>
            <w:tcW w:w="2835" w:type="dxa"/>
            <w:gridSpan w:val="2"/>
            <w:vAlign w:val="center"/>
          </w:tcPr>
          <w:p w14:paraId="2FCB63EE">
            <w:pPr>
              <w:jc w:val="center"/>
              <w:rPr>
                <w:rFonts w:hint="eastAsia" w:ascii="华文仿宋" w:hAnsi="华文仿宋" w:eastAsia="华文仿宋" w:cs="华文仿宋"/>
                <w:b/>
              </w:rPr>
            </w:pPr>
            <w:r>
              <w:rPr>
                <w:rFonts w:hint="eastAsia" w:ascii="华文仿宋" w:hAnsi="华文仿宋" w:eastAsia="华文仿宋" w:cs="华文仿宋"/>
                <w:b/>
                <w:kern w:val="0"/>
                <w:szCs w:val="21"/>
              </w:rPr>
              <w:t>技术部分</w:t>
            </w:r>
          </w:p>
        </w:tc>
        <w:tc>
          <w:tcPr>
            <w:tcW w:w="6521" w:type="dxa"/>
            <w:gridSpan w:val="2"/>
            <w:vAlign w:val="center"/>
          </w:tcPr>
          <w:p w14:paraId="43D8E66F">
            <w:pPr>
              <w:jc w:val="center"/>
              <w:rPr>
                <w:rFonts w:hint="eastAsia" w:ascii="华文仿宋" w:hAnsi="华文仿宋" w:eastAsia="华文仿宋" w:cs="华文仿宋"/>
                <w:b/>
              </w:rPr>
            </w:pPr>
            <w:r>
              <w:rPr>
                <w:rFonts w:hint="eastAsia" w:ascii="华文仿宋" w:hAnsi="华文仿宋" w:eastAsia="华文仿宋" w:cs="华文仿宋"/>
                <w:b/>
              </w:rPr>
              <w:t>45</w:t>
            </w:r>
          </w:p>
        </w:tc>
      </w:tr>
      <w:tr w14:paraId="7FD4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Pr>
          <w:p w14:paraId="40E23DB9">
            <w:pPr>
              <w:rPr>
                <w:rFonts w:hint="eastAsia" w:ascii="华文仿宋" w:hAnsi="华文仿宋" w:eastAsia="华文仿宋" w:cs="华文仿宋"/>
              </w:rPr>
            </w:pPr>
          </w:p>
        </w:tc>
        <w:tc>
          <w:tcPr>
            <w:tcW w:w="851" w:type="dxa"/>
            <w:vAlign w:val="center"/>
          </w:tcPr>
          <w:p w14:paraId="1B1F50F3">
            <w:pPr>
              <w:widowControl/>
              <w:jc w:val="center"/>
              <w:rPr>
                <w:rFonts w:hint="eastAsia" w:ascii="华文仿宋" w:hAnsi="华文仿宋" w:eastAsia="华文仿宋" w:cs="华文仿宋"/>
                <w:kern w:val="0"/>
                <w:szCs w:val="21"/>
              </w:rPr>
            </w:pPr>
            <w:r>
              <w:rPr>
                <w:rFonts w:hint="eastAsia" w:ascii="华文仿宋" w:hAnsi="华文仿宋" w:eastAsia="华文仿宋" w:cs="华文仿宋"/>
                <w:kern w:val="0"/>
                <w:szCs w:val="21"/>
              </w:rPr>
              <w:t>序号</w:t>
            </w:r>
          </w:p>
        </w:tc>
        <w:tc>
          <w:tcPr>
            <w:tcW w:w="1984" w:type="dxa"/>
            <w:vAlign w:val="center"/>
          </w:tcPr>
          <w:p w14:paraId="537626D8">
            <w:pPr>
              <w:widowControl/>
              <w:jc w:val="center"/>
              <w:rPr>
                <w:rFonts w:hint="eastAsia" w:ascii="华文仿宋" w:hAnsi="华文仿宋" w:eastAsia="华文仿宋" w:cs="华文仿宋"/>
                <w:kern w:val="0"/>
                <w:szCs w:val="21"/>
              </w:rPr>
            </w:pPr>
            <w:r>
              <w:rPr>
                <w:rFonts w:hint="eastAsia" w:ascii="华文仿宋" w:hAnsi="华文仿宋" w:eastAsia="华文仿宋" w:cs="华文仿宋"/>
                <w:kern w:val="0"/>
                <w:szCs w:val="21"/>
              </w:rPr>
              <w:t>评分因素</w:t>
            </w:r>
          </w:p>
        </w:tc>
        <w:tc>
          <w:tcPr>
            <w:tcW w:w="851" w:type="dxa"/>
            <w:vAlign w:val="center"/>
          </w:tcPr>
          <w:p w14:paraId="2F4D9241">
            <w:pPr>
              <w:widowControl/>
              <w:jc w:val="center"/>
              <w:rPr>
                <w:rFonts w:hint="eastAsia" w:ascii="华文仿宋" w:hAnsi="华文仿宋" w:eastAsia="华文仿宋" w:cs="华文仿宋"/>
                <w:kern w:val="0"/>
                <w:szCs w:val="21"/>
              </w:rPr>
            </w:pPr>
            <w:r>
              <w:rPr>
                <w:rFonts w:hint="eastAsia" w:ascii="华文仿宋" w:hAnsi="华文仿宋" w:eastAsia="华文仿宋" w:cs="华文仿宋"/>
                <w:kern w:val="0"/>
                <w:szCs w:val="21"/>
              </w:rPr>
              <w:t>权重</w:t>
            </w:r>
          </w:p>
        </w:tc>
        <w:tc>
          <w:tcPr>
            <w:tcW w:w="5670" w:type="dxa"/>
            <w:vAlign w:val="center"/>
          </w:tcPr>
          <w:p w14:paraId="5F197E9B">
            <w:pPr>
              <w:widowControl/>
              <w:jc w:val="center"/>
              <w:rPr>
                <w:rFonts w:hint="eastAsia" w:ascii="华文仿宋" w:hAnsi="华文仿宋" w:eastAsia="华文仿宋" w:cs="华文仿宋"/>
                <w:kern w:val="0"/>
                <w:szCs w:val="21"/>
              </w:rPr>
            </w:pPr>
            <w:r>
              <w:rPr>
                <w:rFonts w:hint="eastAsia" w:ascii="华文仿宋" w:hAnsi="华文仿宋" w:eastAsia="华文仿宋" w:cs="华文仿宋"/>
                <w:kern w:val="0"/>
                <w:szCs w:val="21"/>
              </w:rPr>
              <w:t>评分准则</w:t>
            </w:r>
          </w:p>
        </w:tc>
      </w:tr>
      <w:tr w14:paraId="3B12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Pr>
          <w:p w14:paraId="262E6852">
            <w:pPr>
              <w:rPr>
                <w:rFonts w:hint="eastAsia" w:ascii="华文仿宋" w:hAnsi="华文仿宋" w:eastAsia="华文仿宋" w:cs="华文仿宋"/>
              </w:rPr>
            </w:pPr>
          </w:p>
        </w:tc>
        <w:tc>
          <w:tcPr>
            <w:tcW w:w="851" w:type="dxa"/>
            <w:vAlign w:val="center"/>
          </w:tcPr>
          <w:p w14:paraId="78611977">
            <w:pPr>
              <w:widowControl/>
              <w:jc w:val="center"/>
              <w:rPr>
                <w:rFonts w:hint="eastAsia" w:ascii="华文仿宋" w:hAnsi="华文仿宋" w:eastAsia="华文仿宋" w:cs="华文仿宋"/>
                <w:kern w:val="0"/>
                <w:szCs w:val="21"/>
              </w:rPr>
            </w:pPr>
            <w:r>
              <w:rPr>
                <w:rFonts w:hint="eastAsia" w:ascii="华文仿宋" w:hAnsi="华文仿宋" w:eastAsia="华文仿宋" w:cs="华文仿宋"/>
                <w:kern w:val="0"/>
                <w:szCs w:val="21"/>
              </w:rPr>
              <w:t>1</w:t>
            </w:r>
          </w:p>
        </w:tc>
        <w:tc>
          <w:tcPr>
            <w:tcW w:w="1984" w:type="dxa"/>
            <w:vAlign w:val="center"/>
          </w:tcPr>
          <w:p w14:paraId="7C1D7CD7">
            <w:pPr>
              <w:widowControl/>
              <w:ind w:left="58"/>
              <w:jc w:val="center"/>
              <w:rPr>
                <w:rFonts w:hint="eastAsia" w:ascii="华文仿宋" w:hAnsi="华文仿宋" w:eastAsia="华文仿宋" w:cs="华文仿宋"/>
                <w:kern w:val="0"/>
                <w:szCs w:val="21"/>
              </w:rPr>
            </w:pPr>
            <w:r>
              <w:rPr>
                <w:rFonts w:hint="eastAsia" w:ascii="华文仿宋" w:hAnsi="华文仿宋" w:eastAsia="华文仿宋" w:cs="华文仿宋"/>
                <w:kern w:val="0"/>
                <w:szCs w:val="21"/>
                <w:lang w:eastAsia="zh-CN"/>
              </w:rPr>
              <w:t>招标采购实施方案及项目重点难点分析、应对措施及相关的合理化建议</w:t>
            </w:r>
          </w:p>
        </w:tc>
        <w:tc>
          <w:tcPr>
            <w:tcW w:w="851" w:type="dxa"/>
            <w:vAlign w:val="center"/>
          </w:tcPr>
          <w:p w14:paraId="279E1BEA">
            <w:pPr>
              <w:jc w:val="center"/>
              <w:rPr>
                <w:rFonts w:hint="eastAsia" w:ascii="华文仿宋" w:hAnsi="华文仿宋" w:eastAsia="华文仿宋" w:cs="华文仿宋"/>
              </w:rPr>
            </w:pPr>
            <w:r>
              <w:rPr>
                <w:rFonts w:hint="eastAsia" w:ascii="华文仿宋" w:hAnsi="华文仿宋" w:eastAsia="华文仿宋" w:cs="华文仿宋"/>
              </w:rPr>
              <w:t>30</w:t>
            </w:r>
          </w:p>
        </w:tc>
        <w:tc>
          <w:tcPr>
            <w:tcW w:w="5670" w:type="dxa"/>
            <w:vAlign w:val="center"/>
          </w:tcPr>
          <w:p w14:paraId="29AF0F9B">
            <w:pPr>
              <w:widowControl/>
              <w:numPr>
                <w:ilvl w:val="0"/>
                <w:numId w:val="0"/>
              </w:numPr>
              <w:jc w:val="left"/>
              <w:rPr>
                <w:rFonts w:hint="eastAsia" w:ascii="华文仿宋" w:hAnsi="华文仿宋" w:eastAsia="华文仿宋" w:cs="华文仿宋"/>
                <w:kern w:val="0"/>
                <w:szCs w:val="21"/>
              </w:rPr>
            </w:pPr>
            <w:r>
              <w:rPr>
                <w:rFonts w:hint="eastAsia" w:ascii="华文仿宋" w:hAnsi="华文仿宋" w:eastAsia="华文仿宋" w:cs="华文仿宋"/>
                <w:kern w:val="0"/>
                <w:szCs w:val="21"/>
                <w:lang w:val="en-US" w:eastAsia="zh-CN"/>
              </w:rPr>
              <w:t>1.</w:t>
            </w:r>
            <w:r>
              <w:rPr>
                <w:rFonts w:hint="eastAsia" w:ascii="华文仿宋" w:hAnsi="华文仿宋" w:eastAsia="华文仿宋" w:cs="华文仿宋"/>
                <w:kern w:val="0"/>
                <w:szCs w:val="21"/>
              </w:rPr>
              <w:t>考察投标人提供的招标采购实施方案（包括招标代理服务的总体实施、采购文件编制、供应商质疑处理、开评标等方面的方案）；</w:t>
            </w:r>
          </w:p>
          <w:p w14:paraId="23FFE8DC">
            <w:pPr>
              <w:widowControl/>
              <w:numPr>
                <w:ilvl w:val="0"/>
                <w:numId w:val="0"/>
              </w:numPr>
              <w:jc w:val="left"/>
              <w:rPr>
                <w:rFonts w:hint="eastAsia" w:ascii="华文仿宋" w:hAnsi="华文仿宋" w:eastAsia="华文仿宋" w:cs="华文仿宋"/>
                <w:kern w:val="0"/>
                <w:szCs w:val="21"/>
                <w:lang w:val="en-US" w:eastAsia="zh-CN"/>
              </w:rPr>
            </w:pPr>
            <w:r>
              <w:rPr>
                <w:rFonts w:hint="eastAsia" w:ascii="华文仿宋" w:hAnsi="华文仿宋" w:eastAsia="华文仿宋" w:cs="华文仿宋"/>
                <w:kern w:val="0"/>
                <w:szCs w:val="21"/>
                <w:lang w:val="en-US" w:eastAsia="zh-CN"/>
              </w:rPr>
              <w:t>2.考察投标人的项目重点难点分析、应对措施及相关的合理化建议；</w:t>
            </w:r>
          </w:p>
          <w:p w14:paraId="5ACA7E18">
            <w:pPr>
              <w:widowControl/>
              <w:jc w:val="left"/>
              <w:rPr>
                <w:rFonts w:hint="eastAsia" w:ascii="华文仿宋" w:hAnsi="华文仿宋" w:eastAsia="华文仿宋" w:cs="华文仿宋"/>
                <w:kern w:val="0"/>
                <w:szCs w:val="21"/>
              </w:rPr>
            </w:pPr>
            <w:r>
              <w:rPr>
                <w:rFonts w:hint="eastAsia" w:ascii="华文仿宋" w:hAnsi="华文仿宋" w:eastAsia="华文仿宋" w:cs="华文仿宋"/>
                <w:kern w:val="0"/>
                <w:szCs w:val="21"/>
              </w:rPr>
              <w:t>根据实施方案内容的全面、具体、针对性、</w:t>
            </w:r>
            <w:r>
              <w:rPr>
                <w:rFonts w:hint="eastAsia" w:ascii="华文仿宋" w:hAnsi="华文仿宋" w:eastAsia="华文仿宋" w:cs="华文仿宋"/>
                <w:kern w:val="0"/>
                <w:szCs w:val="21"/>
                <w:lang w:eastAsia="zh-CN"/>
              </w:rPr>
              <w:t>是否</w:t>
            </w:r>
            <w:r>
              <w:rPr>
                <w:rFonts w:hint="eastAsia" w:ascii="华文仿宋" w:hAnsi="华文仿宋" w:eastAsia="华文仿宋" w:cs="华文仿宋"/>
                <w:kern w:val="0"/>
                <w:szCs w:val="21"/>
              </w:rPr>
              <w:t>科学合理、可操作性</w:t>
            </w:r>
            <w:r>
              <w:rPr>
                <w:rFonts w:hint="eastAsia" w:ascii="华文仿宋" w:hAnsi="华文仿宋" w:eastAsia="华文仿宋" w:cs="华文仿宋"/>
                <w:kern w:val="0"/>
                <w:szCs w:val="21"/>
                <w:lang w:eastAsia="zh-CN"/>
              </w:rPr>
              <w:t>及项目</w:t>
            </w:r>
            <w:r>
              <w:rPr>
                <w:rFonts w:hint="eastAsia" w:ascii="华文仿宋" w:hAnsi="华文仿宋" w:eastAsia="华文仿宋" w:cs="华文仿宋"/>
                <w:kern w:val="0"/>
                <w:szCs w:val="21"/>
              </w:rPr>
              <w:t xml:space="preserve">重点难点分析、应对措施及相关的合理化建议进行评分。 </w:t>
            </w:r>
          </w:p>
          <w:p w14:paraId="31A845B4">
            <w:pPr>
              <w:widowControl/>
              <w:jc w:val="left"/>
              <w:rPr>
                <w:rFonts w:hint="eastAsia" w:ascii="华文仿宋" w:hAnsi="华文仿宋" w:eastAsia="华文仿宋" w:cs="华文仿宋"/>
                <w:kern w:val="0"/>
                <w:szCs w:val="21"/>
              </w:rPr>
            </w:pPr>
            <w:r>
              <w:rPr>
                <w:rFonts w:hint="eastAsia" w:ascii="华文仿宋" w:hAnsi="华文仿宋" w:eastAsia="华文仿宋" w:cs="华文仿宋"/>
                <w:kern w:val="0"/>
                <w:szCs w:val="21"/>
              </w:rPr>
              <w:t>实施方案内容全面、具体、针对性强、科学合理、可操作性强</w:t>
            </w:r>
            <w:r>
              <w:rPr>
                <w:rFonts w:hint="eastAsia" w:ascii="华文仿宋" w:hAnsi="华文仿宋" w:eastAsia="华文仿宋" w:cs="华文仿宋"/>
                <w:kern w:val="0"/>
                <w:szCs w:val="21"/>
                <w:lang w:eastAsia="zh-CN"/>
              </w:rPr>
              <w:t>、项目重点难点分析、应对措施及相关的合理化建议得当</w:t>
            </w:r>
            <w:r>
              <w:rPr>
                <w:rFonts w:hint="eastAsia" w:ascii="华文仿宋" w:hAnsi="华文仿宋" w:eastAsia="华文仿宋" w:cs="华文仿宋"/>
                <w:kern w:val="0"/>
                <w:szCs w:val="21"/>
              </w:rPr>
              <w:t>的</w:t>
            </w:r>
            <w:r>
              <w:rPr>
                <w:rFonts w:hint="eastAsia" w:ascii="华文仿宋" w:hAnsi="华文仿宋" w:eastAsia="华文仿宋" w:cs="华文仿宋"/>
                <w:b/>
                <w:bCs/>
                <w:kern w:val="0"/>
                <w:szCs w:val="21"/>
              </w:rPr>
              <w:t>得30分</w:t>
            </w:r>
            <w:r>
              <w:rPr>
                <w:rFonts w:hint="eastAsia" w:ascii="华文仿宋" w:hAnsi="华文仿宋" w:eastAsia="华文仿宋" w:cs="华文仿宋"/>
                <w:kern w:val="0"/>
                <w:szCs w:val="21"/>
              </w:rPr>
              <w:t>；实施方案内容</w:t>
            </w:r>
            <w:r>
              <w:rPr>
                <w:rFonts w:hint="eastAsia" w:ascii="华文仿宋" w:hAnsi="华文仿宋" w:eastAsia="华文仿宋" w:cs="华文仿宋"/>
                <w:kern w:val="0"/>
                <w:szCs w:val="21"/>
                <w:lang w:eastAsia="zh-CN"/>
              </w:rPr>
              <w:t>不够全面、</w:t>
            </w:r>
            <w:r>
              <w:rPr>
                <w:rFonts w:hint="eastAsia" w:ascii="华文仿宋" w:hAnsi="华文仿宋" w:eastAsia="华文仿宋" w:cs="华文仿宋"/>
                <w:kern w:val="0"/>
                <w:szCs w:val="21"/>
              </w:rPr>
              <w:t>具体、针对性</w:t>
            </w:r>
            <w:r>
              <w:rPr>
                <w:rFonts w:hint="eastAsia" w:ascii="华文仿宋" w:hAnsi="华文仿宋" w:eastAsia="华文仿宋" w:cs="华文仿宋"/>
                <w:kern w:val="0"/>
                <w:szCs w:val="21"/>
                <w:lang w:eastAsia="zh-CN"/>
              </w:rPr>
              <w:t>一般</w:t>
            </w:r>
            <w:r>
              <w:rPr>
                <w:rFonts w:hint="eastAsia" w:ascii="华文仿宋" w:hAnsi="华文仿宋" w:eastAsia="华文仿宋" w:cs="华文仿宋"/>
                <w:kern w:val="0"/>
                <w:szCs w:val="21"/>
              </w:rPr>
              <w:t>、</w:t>
            </w:r>
            <w:r>
              <w:rPr>
                <w:rFonts w:hint="eastAsia" w:ascii="华文仿宋" w:hAnsi="华文仿宋" w:eastAsia="华文仿宋" w:cs="华文仿宋"/>
                <w:kern w:val="0"/>
                <w:szCs w:val="21"/>
                <w:lang w:eastAsia="zh-CN"/>
              </w:rPr>
              <w:t>不够</w:t>
            </w:r>
            <w:r>
              <w:rPr>
                <w:rFonts w:hint="eastAsia" w:ascii="华文仿宋" w:hAnsi="华文仿宋" w:eastAsia="华文仿宋" w:cs="华文仿宋"/>
                <w:kern w:val="0"/>
                <w:szCs w:val="21"/>
              </w:rPr>
              <w:t>科学合理、可操作性</w:t>
            </w:r>
            <w:r>
              <w:rPr>
                <w:rFonts w:hint="eastAsia" w:ascii="华文仿宋" w:hAnsi="华文仿宋" w:eastAsia="华文仿宋" w:cs="华文仿宋"/>
                <w:kern w:val="0"/>
                <w:szCs w:val="21"/>
                <w:lang w:eastAsia="zh-CN"/>
              </w:rPr>
              <w:t>一般、项目重点难点分析、应对措施及相关的合理化建议一般</w:t>
            </w:r>
            <w:r>
              <w:rPr>
                <w:rFonts w:hint="eastAsia" w:ascii="华文仿宋" w:hAnsi="华文仿宋" w:eastAsia="华文仿宋" w:cs="华文仿宋"/>
                <w:kern w:val="0"/>
                <w:szCs w:val="21"/>
              </w:rPr>
              <w:t>的</w:t>
            </w:r>
            <w:r>
              <w:rPr>
                <w:rFonts w:hint="eastAsia" w:ascii="华文仿宋" w:hAnsi="华文仿宋" w:eastAsia="华文仿宋" w:cs="华文仿宋"/>
                <w:b/>
                <w:bCs/>
                <w:kern w:val="0"/>
                <w:szCs w:val="21"/>
              </w:rPr>
              <w:t>得20分</w:t>
            </w:r>
            <w:r>
              <w:rPr>
                <w:rFonts w:hint="eastAsia" w:ascii="华文仿宋" w:hAnsi="华文仿宋" w:eastAsia="华文仿宋" w:cs="华文仿宋"/>
                <w:kern w:val="0"/>
                <w:szCs w:val="21"/>
              </w:rPr>
              <w:t>；实施方案内容</w:t>
            </w:r>
            <w:r>
              <w:rPr>
                <w:rFonts w:hint="eastAsia" w:ascii="华文仿宋" w:hAnsi="华文仿宋" w:eastAsia="华文仿宋" w:cs="华文仿宋"/>
                <w:kern w:val="0"/>
                <w:szCs w:val="21"/>
                <w:lang w:eastAsia="zh-CN"/>
              </w:rPr>
              <w:t>匮乏</w:t>
            </w:r>
            <w:r>
              <w:rPr>
                <w:rFonts w:hint="eastAsia" w:ascii="华文仿宋" w:hAnsi="华文仿宋" w:eastAsia="华文仿宋" w:cs="华文仿宋"/>
                <w:kern w:val="0"/>
                <w:szCs w:val="21"/>
              </w:rPr>
              <w:t>、针对性</w:t>
            </w:r>
            <w:r>
              <w:rPr>
                <w:rFonts w:hint="eastAsia" w:ascii="华文仿宋" w:hAnsi="华文仿宋" w:eastAsia="华文仿宋" w:cs="华文仿宋"/>
                <w:kern w:val="0"/>
                <w:szCs w:val="21"/>
                <w:lang w:eastAsia="zh-CN"/>
              </w:rPr>
              <w:t>一般</w:t>
            </w:r>
            <w:r>
              <w:rPr>
                <w:rFonts w:hint="eastAsia" w:ascii="华文仿宋" w:hAnsi="华文仿宋" w:eastAsia="华文仿宋" w:cs="华文仿宋"/>
                <w:kern w:val="0"/>
                <w:szCs w:val="21"/>
              </w:rPr>
              <w:t>、</w:t>
            </w:r>
            <w:r>
              <w:rPr>
                <w:rFonts w:hint="eastAsia" w:ascii="华文仿宋" w:hAnsi="华文仿宋" w:eastAsia="华文仿宋" w:cs="华文仿宋"/>
                <w:kern w:val="0"/>
                <w:szCs w:val="21"/>
                <w:lang w:eastAsia="zh-CN"/>
              </w:rPr>
              <w:t>不</w:t>
            </w:r>
            <w:r>
              <w:rPr>
                <w:rFonts w:hint="eastAsia" w:ascii="华文仿宋" w:hAnsi="华文仿宋" w:eastAsia="华文仿宋" w:cs="华文仿宋"/>
                <w:kern w:val="0"/>
                <w:szCs w:val="21"/>
              </w:rPr>
              <w:t>科学合理、可操作性</w:t>
            </w:r>
            <w:r>
              <w:rPr>
                <w:rFonts w:hint="eastAsia" w:ascii="华文仿宋" w:hAnsi="华文仿宋" w:eastAsia="华文仿宋" w:cs="华文仿宋"/>
                <w:kern w:val="0"/>
                <w:szCs w:val="21"/>
                <w:lang w:eastAsia="zh-CN"/>
              </w:rPr>
              <w:t>差、项目重点难点分析、应对措施及相关的合理化建议差</w:t>
            </w:r>
            <w:r>
              <w:rPr>
                <w:rFonts w:hint="eastAsia" w:ascii="华文仿宋" w:hAnsi="华文仿宋" w:eastAsia="华文仿宋" w:cs="华文仿宋"/>
                <w:kern w:val="0"/>
                <w:szCs w:val="21"/>
              </w:rPr>
              <w:t>的</w:t>
            </w:r>
            <w:r>
              <w:rPr>
                <w:rFonts w:hint="eastAsia" w:ascii="华文仿宋" w:hAnsi="华文仿宋" w:eastAsia="华文仿宋" w:cs="华文仿宋"/>
                <w:b/>
                <w:bCs/>
                <w:kern w:val="0"/>
                <w:szCs w:val="21"/>
              </w:rPr>
              <w:t>得10分</w:t>
            </w:r>
            <w:r>
              <w:rPr>
                <w:rFonts w:hint="eastAsia" w:ascii="华文仿宋" w:hAnsi="华文仿宋" w:eastAsia="华文仿宋" w:cs="华文仿宋"/>
                <w:kern w:val="0"/>
                <w:szCs w:val="21"/>
              </w:rPr>
              <w:t>；</w:t>
            </w:r>
            <w:r>
              <w:rPr>
                <w:rFonts w:hint="eastAsia" w:ascii="华文仿宋" w:hAnsi="华文仿宋" w:eastAsia="华文仿宋" w:cs="华文仿宋"/>
                <w:kern w:val="0"/>
                <w:szCs w:val="21"/>
                <w:lang w:eastAsia="zh-CN"/>
              </w:rPr>
              <w:t>没有</w:t>
            </w:r>
            <w:r>
              <w:rPr>
                <w:rFonts w:hint="eastAsia" w:ascii="华文仿宋" w:hAnsi="华文仿宋" w:eastAsia="华文仿宋" w:cs="华文仿宋"/>
                <w:kern w:val="0"/>
                <w:szCs w:val="21"/>
              </w:rPr>
              <w:t>的</w:t>
            </w:r>
            <w:r>
              <w:rPr>
                <w:rFonts w:hint="eastAsia" w:ascii="华文仿宋" w:hAnsi="华文仿宋" w:eastAsia="华文仿宋" w:cs="华文仿宋"/>
                <w:b/>
                <w:bCs/>
                <w:kern w:val="0"/>
                <w:szCs w:val="21"/>
              </w:rPr>
              <w:t>不得分</w:t>
            </w:r>
            <w:r>
              <w:rPr>
                <w:rFonts w:hint="eastAsia" w:ascii="华文仿宋" w:hAnsi="华文仿宋" w:eastAsia="华文仿宋" w:cs="华文仿宋"/>
                <w:kern w:val="0"/>
                <w:szCs w:val="21"/>
              </w:rPr>
              <w:t>。</w:t>
            </w:r>
          </w:p>
        </w:tc>
      </w:tr>
      <w:tr w14:paraId="120E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Pr>
          <w:p w14:paraId="7CECB984">
            <w:pPr>
              <w:rPr>
                <w:rFonts w:hint="eastAsia" w:ascii="华文仿宋" w:hAnsi="华文仿宋" w:eastAsia="华文仿宋" w:cs="华文仿宋"/>
              </w:rPr>
            </w:pPr>
          </w:p>
        </w:tc>
        <w:tc>
          <w:tcPr>
            <w:tcW w:w="851" w:type="dxa"/>
            <w:vAlign w:val="center"/>
          </w:tcPr>
          <w:p w14:paraId="2E668067">
            <w:pPr>
              <w:jc w:val="center"/>
              <w:rPr>
                <w:rFonts w:hint="eastAsia" w:ascii="华文仿宋" w:hAnsi="华文仿宋" w:eastAsia="华文仿宋" w:cs="华文仿宋"/>
              </w:rPr>
            </w:pPr>
            <w:r>
              <w:rPr>
                <w:rFonts w:hint="eastAsia" w:ascii="华文仿宋" w:hAnsi="华文仿宋" w:eastAsia="华文仿宋" w:cs="华文仿宋"/>
              </w:rPr>
              <w:t>2</w:t>
            </w:r>
          </w:p>
        </w:tc>
        <w:tc>
          <w:tcPr>
            <w:tcW w:w="1984" w:type="dxa"/>
            <w:vAlign w:val="center"/>
          </w:tcPr>
          <w:p w14:paraId="2AEC4AD2">
            <w:pPr>
              <w:jc w:val="center"/>
              <w:rPr>
                <w:rFonts w:hint="eastAsia" w:ascii="华文仿宋" w:hAnsi="华文仿宋" w:eastAsia="华文仿宋" w:cs="华文仿宋"/>
              </w:rPr>
            </w:pPr>
            <w:r>
              <w:rPr>
                <w:rFonts w:hint="eastAsia" w:ascii="华文仿宋" w:hAnsi="华文仿宋" w:eastAsia="华文仿宋" w:cs="华文仿宋"/>
                <w:kern w:val="0"/>
                <w:szCs w:val="21"/>
              </w:rPr>
              <w:t>质量保障措施及方案</w:t>
            </w:r>
          </w:p>
        </w:tc>
        <w:tc>
          <w:tcPr>
            <w:tcW w:w="851" w:type="dxa"/>
            <w:vAlign w:val="center"/>
          </w:tcPr>
          <w:p w14:paraId="1109454E">
            <w:pPr>
              <w:jc w:val="center"/>
              <w:rPr>
                <w:rFonts w:hint="eastAsia" w:ascii="华文仿宋" w:hAnsi="华文仿宋" w:eastAsia="华文仿宋" w:cs="华文仿宋"/>
              </w:rPr>
            </w:pPr>
            <w:r>
              <w:rPr>
                <w:rFonts w:hint="eastAsia" w:ascii="华文仿宋" w:hAnsi="华文仿宋" w:eastAsia="华文仿宋" w:cs="华文仿宋"/>
              </w:rPr>
              <w:t>15</w:t>
            </w:r>
          </w:p>
        </w:tc>
        <w:tc>
          <w:tcPr>
            <w:tcW w:w="5670" w:type="dxa"/>
          </w:tcPr>
          <w:p w14:paraId="0DE4EBEC">
            <w:pPr>
              <w:widowControl/>
              <w:jc w:val="left"/>
              <w:rPr>
                <w:rFonts w:hint="eastAsia" w:ascii="华文仿宋" w:hAnsi="华文仿宋" w:eastAsia="华文仿宋" w:cs="华文仿宋"/>
                <w:kern w:val="0"/>
                <w:szCs w:val="21"/>
              </w:rPr>
            </w:pPr>
            <w:r>
              <w:rPr>
                <w:rFonts w:hint="eastAsia" w:ascii="华文仿宋" w:hAnsi="华文仿宋" w:eastAsia="华文仿宋" w:cs="华文仿宋"/>
                <w:kern w:val="0"/>
                <w:szCs w:val="21"/>
              </w:rPr>
              <w:t>考察投标人提供的质量保障措施及方案（内部质量管控措施）。</w:t>
            </w:r>
          </w:p>
          <w:p w14:paraId="6876F44F">
            <w:pPr>
              <w:rPr>
                <w:rFonts w:hint="eastAsia" w:ascii="华文仿宋" w:hAnsi="华文仿宋" w:eastAsia="华文仿宋" w:cs="华文仿宋"/>
              </w:rPr>
            </w:pPr>
            <w:r>
              <w:rPr>
                <w:rFonts w:hint="eastAsia" w:ascii="华文仿宋" w:hAnsi="华文仿宋" w:eastAsia="华文仿宋" w:cs="华文仿宋"/>
                <w:kern w:val="0"/>
                <w:szCs w:val="21"/>
              </w:rPr>
              <w:t>质量保障措施及方案内容全面、具体、针对性强、科学合理、可操作性强的</w:t>
            </w:r>
            <w:r>
              <w:rPr>
                <w:rFonts w:hint="eastAsia" w:ascii="华文仿宋" w:hAnsi="华文仿宋" w:eastAsia="华文仿宋" w:cs="华文仿宋"/>
                <w:b/>
                <w:bCs/>
                <w:kern w:val="0"/>
                <w:szCs w:val="21"/>
              </w:rPr>
              <w:t>得15分</w:t>
            </w:r>
            <w:r>
              <w:rPr>
                <w:rFonts w:hint="eastAsia" w:ascii="华文仿宋" w:hAnsi="华文仿宋" w:eastAsia="华文仿宋" w:cs="华文仿宋"/>
                <w:kern w:val="0"/>
                <w:szCs w:val="21"/>
              </w:rPr>
              <w:t>；方案内容</w:t>
            </w:r>
            <w:r>
              <w:rPr>
                <w:rFonts w:hint="eastAsia" w:ascii="华文仿宋" w:hAnsi="华文仿宋" w:eastAsia="华文仿宋" w:cs="华文仿宋"/>
                <w:kern w:val="0"/>
                <w:szCs w:val="21"/>
                <w:lang w:eastAsia="zh-CN"/>
              </w:rPr>
              <w:t>不够全面、</w:t>
            </w:r>
            <w:r>
              <w:rPr>
                <w:rFonts w:hint="eastAsia" w:ascii="华文仿宋" w:hAnsi="华文仿宋" w:eastAsia="华文仿宋" w:cs="华文仿宋"/>
                <w:kern w:val="0"/>
                <w:szCs w:val="21"/>
              </w:rPr>
              <w:t>具体、针对性</w:t>
            </w:r>
            <w:r>
              <w:rPr>
                <w:rFonts w:hint="eastAsia" w:ascii="华文仿宋" w:hAnsi="华文仿宋" w:eastAsia="华文仿宋" w:cs="华文仿宋"/>
                <w:kern w:val="0"/>
                <w:szCs w:val="21"/>
                <w:lang w:eastAsia="zh-CN"/>
              </w:rPr>
              <w:t>一般</w:t>
            </w:r>
            <w:r>
              <w:rPr>
                <w:rFonts w:hint="eastAsia" w:ascii="华文仿宋" w:hAnsi="华文仿宋" w:eastAsia="华文仿宋" w:cs="华文仿宋"/>
                <w:kern w:val="0"/>
                <w:szCs w:val="21"/>
              </w:rPr>
              <w:t>、</w:t>
            </w:r>
            <w:r>
              <w:rPr>
                <w:rFonts w:hint="eastAsia" w:ascii="华文仿宋" w:hAnsi="华文仿宋" w:eastAsia="华文仿宋" w:cs="华文仿宋"/>
                <w:kern w:val="0"/>
                <w:szCs w:val="21"/>
                <w:lang w:eastAsia="zh-CN"/>
              </w:rPr>
              <w:t>不够</w:t>
            </w:r>
            <w:r>
              <w:rPr>
                <w:rFonts w:hint="eastAsia" w:ascii="华文仿宋" w:hAnsi="华文仿宋" w:eastAsia="华文仿宋" w:cs="华文仿宋"/>
                <w:kern w:val="0"/>
                <w:szCs w:val="21"/>
              </w:rPr>
              <w:t>科学合理、可操作性</w:t>
            </w:r>
            <w:r>
              <w:rPr>
                <w:rFonts w:hint="eastAsia" w:ascii="华文仿宋" w:hAnsi="华文仿宋" w:eastAsia="华文仿宋" w:cs="华文仿宋"/>
                <w:kern w:val="0"/>
                <w:szCs w:val="21"/>
                <w:lang w:eastAsia="zh-CN"/>
              </w:rPr>
              <w:t>一般</w:t>
            </w:r>
            <w:r>
              <w:rPr>
                <w:rFonts w:hint="eastAsia" w:ascii="华文仿宋" w:hAnsi="华文仿宋" w:eastAsia="华文仿宋" w:cs="华文仿宋"/>
                <w:kern w:val="0"/>
                <w:szCs w:val="21"/>
              </w:rPr>
              <w:t>的</w:t>
            </w:r>
            <w:r>
              <w:rPr>
                <w:rFonts w:hint="eastAsia" w:ascii="华文仿宋" w:hAnsi="华文仿宋" w:eastAsia="华文仿宋" w:cs="华文仿宋"/>
                <w:b/>
                <w:bCs/>
                <w:kern w:val="0"/>
                <w:szCs w:val="21"/>
              </w:rPr>
              <w:t>得10分</w:t>
            </w:r>
            <w:r>
              <w:rPr>
                <w:rFonts w:hint="eastAsia" w:ascii="华文仿宋" w:hAnsi="华文仿宋" w:eastAsia="华文仿宋" w:cs="华文仿宋"/>
                <w:kern w:val="0"/>
                <w:szCs w:val="21"/>
              </w:rPr>
              <w:t>；方案内容</w:t>
            </w:r>
            <w:r>
              <w:rPr>
                <w:rFonts w:hint="eastAsia" w:ascii="华文仿宋" w:hAnsi="华文仿宋" w:eastAsia="华文仿宋" w:cs="华文仿宋"/>
                <w:kern w:val="0"/>
                <w:szCs w:val="21"/>
                <w:lang w:eastAsia="zh-CN"/>
              </w:rPr>
              <w:t>匮乏</w:t>
            </w:r>
            <w:r>
              <w:rPr>
                <w:rFonts w:hint="eastAsia" w:ascii="华文仿宋" w:hAnsi="华文仿宋" w:eastAsia="华文仿宋" w:cs="华文仿宋"/>
                <w:kern w:val="0"/>
                <w:szCs w:val="21"/>
              </w:rPr>
              <w:t>、针对性</w:t>
            </w:r>
            <w:r>
              <w:rPr>
                <w:rFonts w:hint="eastAsia" w:ascii="华文仿宋" w:hAnsi="华文仿宋" w:eastAsia="华文仿宋" w:cs="华文仿宋"/>
                <w:kern w:val="0"/>
                <w:szCs w:val="21"/>
                <w:lang w:eastAsia="zh-CN"/>
              </w:rPr>
              <w:t>一般</w:t>
            </w:r>
            <w:r>
              <w:rPr>
                <w:rFonts w:hint="eastAsia" w:ascii="华文仿宋" w:hAnsi="华文仿宋" w:eastAsia="华文仿宋" w:cs="华文仿宋"/>
                <w:kern w:val="0"/>
                <w:szCs w:val="21"/>
              </w:rPr>
              <w:t>、</w:t>
            </w:r>
            <w:r>
              <w:rPr>
                <w:rFonts w:hint="eastAsia" w:ascii="华文仿宋" w:hAnsi="华文仿宋" w:eastAsia="华文仿宋" w:cs="华文仿宋"/>
                <w:kern w:val="0"/>
                <w:szCs w:val="21"/>
                <w:lang w:eastAsia="zh-CN"/>
              </w:rPr>
              <w:t>不</w:t>
            </w:r>
            <w:r>
              <w:rPr>
                <w:rFonts w:hint="eastAsia" w:ascii="华文仿宋" w:hAnsi="华文仿宋" w:eastAsia="华文仿宋" w:cs="华文仿宋"/>
                <w:kern w:val="0"/>
                <w:szCs w:val="21"/>
              </w:rPr>
              <w:t>科学合理、可操作性</w:t>
            </w:r>
            <w:r>
              <w:rPr>
                <w:rFonts w:hint="eastAsia" w:ascii="华文仿宋" w:hAnsi="华文仿宋" w:eastAsia="华文仿宋" w:cs="华文仿宋"/>
                <w:kern w:val="0"/>
                <w:szCs w:val="21"/>
                <w:lang w:eastAsia="zh-CN"/>
              </w:rPr>
              <w:t>差</w:t>
            </w:r>
            <w:r>
              <w:rPr>
                <w:rFonts w:hint="eastAsia" w:ascii="华文仿宋" w:hAnsi="华文仿宋" w:eastAsia="华文仿宋" w:cs="华文仿宋"/>
                <w:kern w:val="0"/>
                <w:szCs w:val="21"/>
              </w:rPr>
              <w:t>的</w:t>
            </w:r>
            <w:r>
              <w:rPr>
                <w:rFonts w:hint="eastAsia" w:ascii="华文仿宋" w:hAnsi="华文仿宋" w:eastAsia="华文仿宋" w:cs="华文仿宋"/>
                <w:b/>
                <w:bCs/>
                <w:kern w:val="0"/>
                <w:szCs w:val="21"/>
              </w:rPr>
              <w:t>得5分</w:t>
            </w:r>
            <w:r>
              <w:rPr>
                <w:rFonts w:hint="eastAsia" w:ascii="华文仿宋" w:hAnsi="华文仿宋" w:eastAsia="华文仿宋" w:cs="华文仿宋"/>
                <w:kern w:val="0"/>
                <w:szCs w:val="21"/>
              </w:rPr>
              <w:t>；</w:t>
            </w:r>
            <w:r>
              <w:rPr>
                <w:rFonts w:hint="eastAsia" w:ascii="华文仿宋" w:hAnsi="华文仿宋" w:eastAsia="华文仿宋" w:cs="华文仿宋"/>
                <w:kern w:val="0"/>
                <w:szCs w:val="21"/>
                <w:lang w:eastAsia="zh-CN"/>
              </w:rPr>
              <w:t>没有</w:t>
            </w:r>
            <w:r>
              <w:rPr>
                <w:rFonts w:hint="eastAsia" w:ascii="华文仿宋" w:hAnsi="华文仿宋" w:eastAsia="华文仿宋" w:cs="华文仿宋"/>
                <w:kern w:val="0"/>
                <w:szCs w:val="21"/>
              </w:rPr>
              <w:t>的</w:t>
            </w:r>
            <w:r>
              <w:rPr>
                <w:rFonts w:hint="eastAsia" w:ascii="华文仿宋" w:hAnsi="华文仿宋" w:eastAsia="华文仿宋" w:cs="华文仿宋"/>
                <w:b/>
                <w:bCs/>
                <w:kern w:val="0"/>
                <w:szCs w:val="21"/>
              </w:rPr>
              <w:t>不得分</w:t>
            </w:r>
            <w:r>
              <w:rPr>
                <w:rFonts w:hint="eastAsia" w:ascii="华文仿宋" w:hAnsi="华文仿宋" w:eastAsia="华文仿宋" w:cs="华文仿宋"/>
                <w:kern w:val="0"/>
                <w:szCs w:val="21"/>
              </w:rPr>
              <w:t>。</w:t>
            </w:r>
          </w:p>
        </w:tc>
      </w:tr>
      <w:tr w14:paraId="5A67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F4236D2">
            <w:pPr>
              <w:jc w:val="center"/>
              <w:rPr>
                <w:rFonts w:hint="eastAsia" w:ascii="华文仿宋" w:hAnsi="华文仿宋" w:eastAsia="华文仿宋" w:cs="华文仿宋"/>
                <w:b/>
              </w:rPr>
            </w:pPr>
            <w:r>
              <w:rPr>
                <w:rFonts w:hint="eastAsia" w:ascii="华文仿宋" w:hAnsi="华文仿宋" w:eastAsia="华文仿宋" w:cs="华文仿宋"/>
                <w:b/>
              </w:rPr>
              <w:t>2</w:t>
            </w:r>
          </w:p>
        </w:tc>
        <w:tc>
          <w:tcPr>
            <w:tcW w:w="2835" w:type="dxa"/>
            <w:gridSpan w:val="2"/>
            <w:vAlign w:val="center"/>
          </w:tcPr>
          <w:p w14:paraId="1EDABFBE">
            <w:pPr>
              <w:jc w:val="center"/>
              <w:rPr>
                <w:rFonts w:hint="eastAsia" w:ascii="华文仿宋" w:hAnsi="华文仿宋" w:eastAsia="华文仿宋" w:cs="华文仿宋"/>
                <w:b/>
              </w:rPr>
            </w:pPr>
            <w:r>
              <w:rPr>
                <w:rFonts w:hint="eastAsia" w:ascii="华文仿宋" w:hAnsi="华文仿宋" w:eastAsia="华文仿宋" w:cs="华文仿宋"/>
                <w:b/>
                <w:kern w:val="0"/>
                <w:szCs w:val="21"/>
              </w:rPr>
              <w:t>综合实力部分</w:t>
            </w:r>
          </w:p>
        </w:tc>
        <w:tc>
          <w:tcPr>
            <w:tcW w:w="6521" w:type="dxa"/>
            <w:gridSpan w:val="2"/>
            <w:vAlign w:val="center"/>
          </w:tcPr>
          <w:p w14:paraId="11EBADB5">
            <w:pPr>
              <w:jc w:val="center"/>
              <w:rPr>
                <w:rFonts w:hint="eastAsia" w:ascii="华文仿宋" w:hAnsi="华文仿宋" w:eastAsia="华文仿宋" w:cs="华文仿宋"/>
                <w:b/>
              </w:rPr>
            </w:pPr>
            <w:r>
              <w:rPr>
                <w:rFonts w:hint="eastAsia" w:ascii="华文仿宋" w:hAnsi="华文仿宋" w:eastAsia="华文仿宋" w:cs="华文仿宋"/>
                <w:b/>
              </w:rPr>
              <w:t>45</w:t>
            </w:r>
          </w:p>
        </w:tc>
      </w:tr>
      <w:tr w14:paraId="01EF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Pr>
          <w:p w14:paraId="308101BE">
            <w:pPr>
              <w:rPr>
                <w:rFonts w:hint="eastAsia" w:ascii="华文仿宋" w:hAnsi="华文仿宋" w:eastAsia="华文仿宋" w:cs="华文仿宋"/>
              </w:rPr>
            </w:pPr>
          </w:p>
        </w:tc>
        <w:tc>
          <w:tcPr>
            <w:tcW w:w="851" w:type="dxa"/>
            <w:vAlign w:val="center"/>
          </w:tcPr>
          <w:p w14:paraId="20911AEA">
            <w:pPr>
              <w:widowControl/>
              <w:jc w:val="center"/>
              <w:rPr>
                <w:rFonts w:hint="eastAsia" w:ascii="华文仿宋" w:hAnsi="华文仿宋" w:eastAsia="华文仿宋" w:cs="华文仿宋"/>
                <w:kern w:val="0"/>
                <w:szCs w:val="21"/>
              </w:rPr>
            </w:pPr>
            <w:r>
              <w:rPr>
                <w:rFonts w:hint="eastAsia" w:ascii="华文仿宋" w:hAnsi="华文仿宋" w:eastAsia="华文仿宋" w:cs="华文仿宋"/>
                <w:kern w:val="0"/>
                <w:szCs w:val="21"/>
              </w:rPr>
              <w:t>序号</w:t>
            </w:r>
          </w:p>
        </w:tc>
        <w:tc>
          <w:tcPr>
            <w:tcW w:w="1984" w:type="dxa"/>
            <w:vAlign w:val="center"/>
          </w:tcPr>
          <w:p w14:paraId="7FFC07E0">
            <w:pPr>
              <w:widowControl/>
              <w:jc w:val="center"/>
              <w:rPr>
                <w:rFonts w:hint="eastAsia" w:ascii="华文仿宋" w:hAnsi="华文仿宋" w:eastAsia="华文仿宋" w:cs="华文仿宋"/>
                <w:kern w:val="0"/>
                <w:szCs w:val="21"/>
              </w:rPr>
            </w:pPr>
            <w:r>
              <w:rPr>
                <w:rFonts w:hint="eastAsia" w:ascii="华文仿宋" w:hAnsi="华文仿宋" w:eastAsia="华文仿宋" w:cs="华文仿宋"/>
                <w:kern w:val="0"/>
                <w:szCs w:val="21"/>
              </w:rPr>
              <w:t>评分因素</w:t>
            </w:r>
          </w:p>
        </w:tc>
        <w:tc>
          <w:tcPr>
            <w:tcW w:w="851" w:type="dxa"/>
            <w:vAlign w:val="center"/>
          </w:tcPr>
          <w:p w14:paraId="0DE462FB">
            <w:pPr>
              <w:widowControl/>
              <w:jc w:val="center"/>
              <w:rPr>
                <w:rFonts w:hint="eastAsia" w:ascii="华文仿宋" w:hAnsi="华文仿宋" w:eastAsia="华文仿宋" w:cs="华文仿宋"/>
                <w:kern w:val="0"/>
                <w:szCs w:val="21"/>
              </w:rPr>
            </w:pPr>
            <w:r>
              <w:rPr>
                <w:rFonts w:hint="eastAsia" w:ascii="华文仿宋" w:hAnsi="华文仿宋" w:eastAsia="华文仿宋" w:cs="华文仿宋"/>
                <w:kern w:val="0"/>
                <w:szCs w:val="21"/>
              </w:rPr>
              <w:t>权重</w:t>
            </w:r>
          </w:p>
        </w:tc>
        <w:tc>
          <w:tcPr>
            <w:tcW w:w="5670" w:type="dxa"/>
            <w:vAlign w:val="center"/>
          </w:tcPr>
          <w:p w14:paraId="53185F85">
            <w:pPr>
              <w:widowControl/>
              <w:jc w:val="center"/>
              <w:rPr>
                <w:rFonts w:hint="eastAsia" w:ascii="华文仿宋" w:hAnsi="华文仿宋" w:eastAsia="华文仿宋" w:cs="华文仿宋"/>
                <w:kern w:val="0"/>
                <w:szCs w:val="21"/>
              </w:rPr>
            </w:pPr>
            <w:r>
              <w:rPr>
                <w:rFonts w:hint="eastAsia" w:ascii="华文仿宋" w:hAnsi="华文仿宋" w:eastAsia="华文仿宋" w:cs="华文仿宋"/>
                <w:kern w:val="0"/>
                <w:szCs w:val="21"/>
              </w:rPr>
              <w:t>评分准则</w:t>
            </w:r>
          </w:p>
        </w:tc>
      </w:tr>
      <w:tr w14:paraId="7A43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jc w:val="center"/>
        </w:trPr>
        <w:tc>
          <w:tcPr>
            <w:tcW w:w="709" w:type="dxa"/>
            <w:vMerge w:val="continue"/>
          </w:tcPr>
          <w:p w14:paraId="505916C1">
            <w:pPr>
              <w:rPr>
                <w:rFonts w:hint="eastAsia" w:ascii="华文仿宋" w:hAnsi="华文仿宋" w:eastAsia="华文仿宋" w:cs="华文仿宋"/>
              </w:rPr>
            </w:pPr>
          </w:p>
        </w:tc>
        <w:tc>
          <w:tcPr>
            <w:tcW w:w="851" w:type="dxa"/>
            <w:vAlign w:val="center"/>
          </w:tcPr>
          <w:p w14:paraId="3C8DA549">
            <w:pPr>
              <w:jc w:val="center"/>
              <w:rPr>
                <w:rFonts w:hint="eastAsia" w:ascii="华文仿宋" w:hAnsi="华文仿宋" w:eastAsia="华文仿宋" w:cs="华文仿宋"/>
              </w:rPr>
            </w:pPr>
            <w:r>
              <w:rPr>
                <w:rFonts w:hint="eastAsia" w:ascii="华文仿宋" w:hAnsi="华文仿宋" w:eastAsia="华文仿宋" w:cs="华文仿宋"/>
              </w:rPr>
              <w:t>1</w:t>
            </w:r>
          </w:p>
          <w:p w14:paraId="0249A044">
            <w:pPr>
              <w:jc w:val="center"/>
              <w:rPr>
                <w:rFonts w:hint="eastAsia" w:ascii="华文仿宋" w:hAnsi="华文仿宋" w:eastAsia="华文仿宋" w:cs="华文仿宋"/>
              </w:rPr>
            </w:pPr>
          </w:p>
        </w:tc>
        <w:tc>
          <w:tcPr>
            <w:tcW w:w="1984" w:type="dxa"/>
            <w:vAlign w:val="center"/>
          </w:tcPr>
          <w:p w14:paraId="059C9C31">
            <w:pPr>
              <w:jc w:val="center"/>
              <w:rPr>
                <w:rFonts w:hint="eastAsia" w:ascii="华文仿宋" w:hAnsi="华文仿宋" w:eastAsia="华文仿宋" w:cs="华文仿宋"/>
                <w:lang w:eastAsia="zh-CN"/>
              </w:rPr>
            </w:pPr>
            <w:r>
              <w:rPr>
                <w:rFonts w:hint="eastAsia" w:ascii="华文仿宋" w:hAnsi="华文仿宋" w:eastAsia="华文仿宋" w:cs="华文仿宋"/>
                <w:kern w:val="0"/>
                <w:szCs w:val="21"/>
                <w:lang w:eastAsia="zh-CN"/>
              </w:rPr>
              <w:t>专职人员配备情况</w:t>
            </w:r>
          </w:p>
        </w:tc>
        <w:tc>
          <w:tcPr>
            <w:tcW w:w="851" w:type="dxa"/>
            <w:vAlign w:val="center"/>
          </w:tcPr>
          <w:p w14:paraId="135C13D8">
            <w:pPr>
              <w:jc w:val="center"/>
              <w:rPr>
                <w:rFonts w:hint="eastAsia" w:ascii="华文仿宋" w:hAnsi="华文仿宋" w:eastAsia="华文仿宋" w:cs="华文仿宋"/>
                <w:lang w:val="en-US" w:eastAsia="zh-CN"/>
              </w:rPr>
            </w:pPr>
            <w:r>
              <w:rPr>
                <w:rFonts w:hint="eastAsia" w:ascii="华文仿宋" w:hAnsi="华文仿宋" w:eastAsia="华文仿宋" w:cs="华文仿宋"/>
                <w:lang w:val="en-US" w:eastAsia="zh-CN"/>
              </w:rPr>
              <w:t>25</w:t>
            </w:r>
          </w:p>
        </w:tc>
        <w:tc>
          <w:tcPr>
            <w:tcW w:w="5670" w:type="dxa"/>
          </w:tcPr>
          <w:p w14:paraId="7B642FA6">
            <w:pPr>
              <w:pStyle w:val="16"/>
              <w:rPr>
                <w:rFonts w:hint="eastAsia" w:ascii="华文仿宋" w:hAnsi="华文仿宋" w:eastAsia="华文仿宋" w:cs="华文仿宋"/>
                <w:lang w:eastAsia="zh-CN"/>
              </w:rPr>
            </w:pPr>
            <w:r>
              <w:rPr>
                <w:rFonts w:hint="eastAsia" w:ascii="华文仿宋" w:hAnsi="华文仿宋" w:eastAsia="华文仿宋" w:cs="华文仿宋"/>
                <w:kern w:val="0"/>
                <w:szCs w:val="21"/>
              </w:rPr>
              <w:t>1、项目负责人具有全日制本科及以上学历且具有广东省或深圳市政府采购协会举办的政府采购业务培训班并获得培训证明的</w:t>
            </w:r>
            <w:r>
              <w:rPr>
                <w:rFonts w:hint="eastAsia" w:ascii="华文仿宋" w:hAnsi="华文仿宋" w:eastAsia="华文仿宋" w:cs="华文仿宋"/>
                <w:b/>
                <w:bCs/>
                <w:kern w:val="0"/>
                <w:szCs w:val="21"/>
              </w:rPr>
              <w:t>得</w:t>
            </w:r>
            <w:r>
              <w:rPr>
                <w:rFonts w:hint="eastAsia" w:ascii="华文仿宋" w:hAnsi="华文仿宋" w:eastAsia="华文仿宋" w:cs="华文仿宋"/>
                <w:b/>
                <w:bCs/>
                <w:kern w:val="0"/>
                <w:szCs w:val="21"/>
                <w:lang w:val="en-US" w:eastAsia="zh-CN"/>
              </w:rPr>
              <w:t>10</w:t>
            </w:r>
            <w:r>
              <w:rPr>
                <w:rFonts w:hint="eastAsia" w:ascii="华文仿宋" w:hAnsi="华文仿宋" w:eastAsia="华文仿宋" w:cs="华文仿宋"/>
                <w:b/>
                <w:bCs/>
                <w:kern w:val="0"/>
                <w:szCs w:val="21"/>
              </w:rPr>
              <w:t>分</w:t>
            </w:r>
            <w:r>
              <w:rPr>
                <w:rFonts w:hint="eastAsia" w:ascii="华文仿宋" w:hAnsi="华文仿宋" w:eastAsia="华文仿宋" w:cs="华文仿宋"/>
                <w:kern w:val="0"/>
                <w:szCs w:val="21"/>
              </w:rPr>
              <w:t>，</w:t>
            </w:r>
            <w:r>
              <w:rPr>
                <w:rFonts w:hint="eastAsia" w:ascii="华文仿宋" w:hAnsi="华文仿宋" w:eastAsia="华文仿宋" w:cs="华文仿宋"/>
                <w:kern w:val="0"/>
                <w:szCs w:val="21"/>
                <w:lang w:eastAsia="zh-CN"/>
              </w:rPr>
              <w:t>本项</w:t>
            </w:r>
            <w:r>
              <w:rPr>
                <w:rFonts w:hint="eastAsia" w:ascii="华文仿宋" w:hAnsi="华文仿宋" w:eastAsia="华文仿宋" w:cs="华文仿宋"/>
                <w:kern w:val="0"/>
                <w:szCs w:val="21"/>
              </w:rPr>
              <w:t>最高得</w:t>
            </w:r>
            <w:r>
              <w:rPr>
                <w:rFonts w:hint="eastAsia" w:ascii="华文仿宋" w:hAnsi="华文仿宋" w:eastAsia="华文仿宋" w:cs="华文仿宋"/>
                <w:kern w:val="0"/>
                <w:szCs w:val="21"/>
                <w:lang w:val="en-US" w:eastAsia="zh-CN"/>
              </w:rPr>
              <w:t>10</w:t>
            </w:r>
            <w:r>
              <w:rPr>
                <w:rFonts w:hint="eastAsia" w:ascii="华文仿宋" w:hAnsi="华文仿宋" w:eastAsia="华文仿宋" w:cs="华文仿宋"/>
                <w:kern w:val="0"/>
                <w:szCs w:val="21"/>
              </w:rPr>
              <w:t>分</w:t>
            </w:r>
            <w:r>
              <w:rPr>
                <w:rFonts w:hint="eastAsia" w:ascii="华文仿宋" w:hAnsi="华文仿宋" w:eastAsia="华文仿宋" w:cs="华文仿宋"/>
                <w:kern w:val="0"/>
                <w:szCs w:val="21"/>
                <w:lang w:eastAsia="zh-CN"/>
              </w:rPr>
              <w:t>；</w:t>
            </w:r>
          </w:p>
          <w:p w14:paraId="5274A5CF">
            <w:pPr>
              <w:pStyle w:val="16"/>
              <w:rPr>
                <w:rFonts w:hint="eastAsia" w:ascii="华文仿宋" w:hAnsi="华文仿宋" w:eastAsia="华文仿宋" w:cs="华文仿宋"/>
                <w:kern w:val="0"/>
                <w:szCs w:val="21"/>
              </w:rPr>
            </w:pPr>
            <w:r>
              <w:rPr>
                <w:rFonts w:hint="eastAsia" w:ascii="华文仿宋" w:hAnsi="华文仿宋" w:eastAsia="华文仿宋" w:cs="华文仿宋"/>
                <w:kern w:val="0"/>
                <w:szCs w:val="21"/>
              </w:rPr>
              <w:t>2、本项目团队成员中每有一个大专及以上学历且具有广东省或深圳市政府采购协会举办的政府采购业务培训班并获得培训证明的</w:t>
            </w:r>
            <w:r>
              <w:rPr>
                <w:rFonts w:hint="eastAsia" w:ascii="华文仿宋" w:hAnsi="华文仿宋" w:eastAsia="华文仿宋" w:cs="华文仿宋"/>
                <w:b/>
                <w:bCs/>
                <w:kern w:val="0"/>
                <w:szCs w:val="21"/>
              </w:rPr>
              <w:t>得</w:t>
            </w:r>
            <w:r>
              <w:rPr>
                <w:rFonts w:hint="eastAsia" w:ascii="华文仿宋" w:hAnsi="华文仿宋" w:eastAsia="华文仿宋" w:cs="华文仿宋"/>
                <w:b/>
                <w:bCs/>
                <w:kern w:val="0"/>
                <w:szCs w:val="21"/>
                <w:lang w:val="en-US" w:eastAsia="zh-CN"/>
              </w:rPr>
              <w:t>3</w:t>
            </w:r>
            <w:r>
              <w:rPr>
                <w:rFonts w:hint="eastAsia" w:ascii="华文仿宋" w:hAnsi="华文仿宋" w:eastAsia="华文仿宋" w:cs="华文仿宋"/>
                <w:b/>
                <w:bCs/>
                <w:kern w:val="0"/>
                <w:szCs w:val="21"/>
              </w:rPr>
              <w:t>分</w:t>
            </w:r>
            <w:r>
              <w:rPr>
                <w:rFonts w:hint="eastAsia" w:ascii="华文仿宋" w:hAnsi="华文仿宋" w:eastAsia="华文仿宋" w:cs="华文仿宋"/>
                <w:kern w:val="0"/>
                <w:szCs w:val="21"/>
              </w:rPr>
              <w:t>，</w:t>
            </w:r>
            <w:r>
              <w:rPr>
                <w:rFonts w:hint="eastAsia" w:ascii="华文仿宋" w:hAnsi="华文仿宋" w:eastAsia="华文仿宋" w:cs="华文仿宋"/>
                <w:kern w:val="0"/>
                <w:szCs w:val="21"/>
                <w:lang w:eastAsia="zh-CN"/>
              </w:rPr>
              <w:t>本项</w:t>
            </w:r>
            <w:r>
              <w:rPr>
                <w:rFonts w:hint="eastAsia" w:ascii="华文仿宋" w:hAnsi="华文仿宋" w:eastAsia="华文仿宋" w:cs="华文仿宋"/>
                <w:kern w:val="0"/>
                <w:szCs w:val="21"/>
              </w:rPr>
              <w:t>最高得</w:t>
            </w:r>
            <w:r>
              <w:rPr>
                <w:rFonts w:hint="eastAsia" w:ascii="华文仿宋" w:hAnsi="华文仿宋" w:eastAsia="华文仿宋" w:cs="华文仿宋"/>
                <w:kern w:val="0"/>
                <w:szCs w:val="21"/>
                <w:lang w:val="en-US" w:eastAsia="zh-CN"/>
              </w:rPr>
              <w:t>15</w:t>
            </w:r>
            <w:r>
              <w:rPr>
                <w:rFonts w:hint="eastAsia" w:ascii="华文仿宋" w:hAnsi="华文仿宋" w:eastAsia="华文仿宋" w:cs="华文仿宋"/>
                <w:kern w:val="0"/>
                <w:szCs w:val="21"/>
              </w:rPr>
              <w:t>分；</w:t>
            </w:r>
          </w:p>
          <w:p w14:paraId="36299EDF">
            <w:pPr>
              <w:widowControl/>
              <w:jc w:val="left"/>
              <w:rPr>
                <w:rFonts w:hint="eastAsia" w:ascii="华文仿宋" w:hAnsi="华文仿宋" w:eastAsia="华文仿宋" w:cs="华文仿宋"/>
                <w:kern w:val="0"/>
                <w:szCs w:val="21"/>
              </w:rPr>
            </w:pPr>
            <w:r>
              <w:rPr>
                <w:rFonts w:hint="eastAsia" w:ascii="华文仿宋" w:hAnsi="华文仿宋" w:eastAsia="华文仿宋" w:cs="华文仿宋"/>
                <w:kern w:val="0"/>
                <w:szCs w:val="21"/>
              </w:rPr>
              <w:t>需提供</w:t>
            </w:r>
            <w:r>
              <w:rPr>
                <w:rFonts w:hint="eastAsia" w:ascii="华文仿宋" w:hAnsi="华文仿宋" w:eastAsia="华文仿宋" w:cs="华文仿宋"/>
                <w:kern w:val="0"/>
                <w:szCs w:val="21"/>
                <w:lang w:eastAsia="zh-CN"/>
              </w:rPr>
              <w:t>一个</w:t>
            </w:r>
            <w:r>
              <w:rPr>
                <w:rFonts w:hint="eastAsia" w:ascii="华文仿宋" w:hAnsi="华文仿宋" w:eastAsia="华文仿宋" w:cs="华文仿宋"/>
                <w:kern w:val="0"/>
                <w:szCs w:val="21"/>
              </w:rPr>
              <w:t>月在本单位购买社保证明、毕业证书、</w:t>
            </w:r>
            <w:r>
              <w:rPr>
                <w:rFonts w:hint="eastAsia" w:ascii="华文仿宋" w:hAnsi="华文仿宋" w:eastAsia="华文仿宋" w:cs="华文仿宋"/>
                <w:kern w:val="0"/>
                <w:szCs w:val="21"/>
                <w:lang w:eastAsia="zh-CN"/>
              </w:rPr>
              <w:t>培训证明</w:t>
            </w:r>
            <w:r>
              <w:rPr>
                <w:rFonts w:hint="eastAsia" w:ascii="华文仿宋" w:hAnsi="华文仿宋" w:eastAsia="华文仿宋" w:cs="华文仿宋"/>
                <w:kern w:val="0"/>
                <w:szCs w:val="21"/>
              </w:rPr>
              <w:t>等证明文件。未提供的，不得分。</w:t>
            </w:r>
          </w:p>
          <w:p w14:paraId="69DE8E88">
            <w:pPr>
              <w:rPr>
                <w:rFonts w:hint="eastAsia" w:ascii="华文仿宋" w:hAnsi="华文仿宋" w:eastAsia="华文仿宋" w:cs="华文仿宋"/>
              </w:rPr>
            </w:pPr>
            <w:r>
              <w:rPr>
                <w:rFonts w:hint="eastAsia" w:ascii="华文仿宋" w:hAnsi="华文仿宋" w:eastAsia="华文仿宋" w:cs="华文仿宋"/>
                <w:kern w:val="0"/>
                <w:szCs w:val="21"/>
              </w:rPr>
              <w:t>评分中出现无证明资料或专家无法凭所提供资料判断是否得分的情况，一律作不得分处理。</w:t>
            </w:r>
          </w:p>
        </w:tc>
      </w:tr>
      <w:tr w14:paraId="56DE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Pr>
          <w:p w14:paraId="21F9DBC7">
            <w:pPr>
              <w:rPr>
                <w:rFonts w:hint="eastAsia" w:ascii="华文仿宋" w:hAnsi="华文仿宋" w:eastAsia="华文仿宋" w:cs="华文仿宋"/>
              </w:rPr>
            </w:pPr>
          </w:p>
        </w:tc>
        <w:tc>
          <w:tcPr>
            <w:tcW w:w="851" w:type="dxa"/>
            <w:vAlign w:val="center"/>
          </w:tcPr>
          <w:p w14:paraId="0437957C">
            <w:pPr>
              <w:jc w:val="center"/>
              <w:rPr>
                <w:rFonts w:hint="eastAsia" w:ascii="华文仿宋" w:hAnsi="华文仿宋" w:eastAsia="华文仿宋" w:cs="华文仿宋"/>
              </w:rPr>
            </w:pPr>
            <w:r>
              <w:rPr>
                <w:rFonts w:hint="eastAsia" w:ascii="华文仿宋" w:hAnsi="华文仿宋" w:eastAsia="华文仿宋" w:cs="华文仿宋"/>
              </w:rPr>
              <w:t>2</w:t>
            </w:r>
          </w:p>
        </w:tc>
        <w:tc>
          <w:tcPr>
            <w:tcW w:w="1984" w:type="dxa"/>
            <w:vAlign w:val="center"/>
          </w:tcPr>
          <w:p w14:paraId="57CB9F95">
            <w:pPr>
              <w:jc w:val="center"/>
              <w:rPr>
                <w:rFonts w:hint="eastAsia" w:ascii="华文仿宋" w:hAnsi="华文仿宋" w:eastAsia="华文仿宋" w:cs="华文仿宋"/>
              </w:rPr>
            </w:pPr>
            <w:r>
              <w:rPr>
                <w:rFonts w:hint="eastAsia" w:ascii="华文仿宋" w:hAnsi="华文仿宋" w:eastAsia="华文仿宋" w:cs="华文仿宋"/>
                <w:kern w:val="0"/>
                <w:szCs w:val="21"/>
              </w:rPr>
              <w:t>同类有效业绩</w:t>
            </w:r>
          </w:p>
        </w:tc>
        <w:tc>
          <w:tcPr>
            <w:tcW w:w="851" w:type="dxa"/>
            <w:vAlign w:val="center"/>
          </w:tcPr>
          <w:p w14:paraId="12205135">
            <w:pPr>
              <w:jc w:val="center"/>
              <w:rPr>
                <w:rFonts w:hint="eastAsia" w:ascii="华文仿宋" w:hAnsi="华文仿宋" w:eastAsia="华文仿宋" w:cs="华文仿宋"/>
                <w:lang w:val="en-US" w:eastAsia="zh-CN"/>
              </w:rPr>
            </w:pPr>
            <w:r>
              <w:rPr>
                <w:rFonts w:hint="eastAsia" w:ascii="华文仿宋" w:hAnsi="华文仿宋" w:eastAsia="华文仿宋" w:cs="华文仿宋"/>
                <w:lang w:val="en-US" w:eastAsia="zh-CN"/>
              </w:rPr>
              <w:t>10</w:t>
            </w:r>
          </w:p>
        </w:tc>
        <w:tc>
          <w:tcPr>
            <w:tcW w:w="5670" w:type="dxa"/>
          </w:tcPr>
          <w:p w14:paraId="3A87DDAF">
            <w:pPr>
              <w:jc w:val="left"/>
              <w:rPr>
                <w:rFonts w:hint="eastAsia" w:ascii="华文仿宋" w:hAnsi="华文仿宋" w:eastAsia="华文仿宋" w:cs="华文仿宋"/>
                <w:kern w:val="0"/>
                <w:szCs w:val="21"/>
              </w:rPr>
            </w:pPr>
            <w:r>
              <w:rPr>
                <w:rFonts w:hint="eastAsia" w:ascii="华文仿宋" w:hAnsi="华文仿宋" w:eastAsia="华文仿宋" w:cs="华文仿宋"/>
                <w:szCs w:val="21"/>
              </w:rPr>
              <w:t>考察投标人近三年（</w:t>
            </w:r>
            <w:r>
              <w:rPr>
                <w:rFonts w:hint="eastAsia" w:ascii="华文仿宋" w:hAnsi="华文仿宋" w:eastAsia="华文仿宋" w:cs="华文仿宋"/>
                <w:color w:val="FF0000"/>
                <w:szCs w:val="21"/>
              </w:rPr>
              <w:t>202</w:t>
            </w:r>
            <w:r>
              <w:rPr>
                <w:rFonts w:hint="eastAsia" w:ascii="华文仿宋" w:hAnsi="华文仿宋" w:eastAsia="华文仿宋" w:cs="华文仿宋"/>
                <w:color w:val="FF0000"/>
                <w:szCs w:val="21"/>
                <w:lang w:val="en-US" w:eastAsia="zh-CN"/>
              </w:rPr>
              <w:t>3</w:t>
            </w:r>
            <w:r>
              <w:rPr>
                <w:rFonts w:hint="eastAsia" w:ascii="华文仿宋" w:hAnsi="华文仿宋" w:eastAsia="华文仿宋" w:cs="华文仿宋"/>
                <w:color w:val="FF0000"/>
                <w:szCs w:val="21"/>
              </w:rPr>
              <w:t>年1月1日至</w:t>
            </w:r>
            <w:r>
              <w:rPr>
                <w:rFonts w:hint="eastAsia" w:ascii="华文仿宋" w:hAnsi="华文仿宋" w:eastAsia="华文仿宋" w:cs="华文仿宋"/>
                <w:szCs w:val="21"/>
              </w:rPr>
              <w:t>本项目开标之日，以项目验收或履约评价时间为准）同类项目[</w:t>
            </w:r>
            <w:r>
              <w:rPr>
                <w:rFonts w:hint="eastAsia" w:ascii="华文仿宋" w:hAnsi="华文仿宋" w:eastAsia="华文仿宋" w:cs="华文仿宋"/>
                <w:color w:val="FF0000"/>
                <w:szCs w:val="21"/>
              </w:rPr>
              <w:t>同类项目</w:t>
            </w:r>
            <w:r>
              <w:rPr>
                <w:rFonts w:hint="eastAsia" w:ascii="华文仿宋" w:hAnsi="华文仿宋" w:eastAsia="华文仿宋" w:cs="华文仿宋"/>
                <w:szCs w:val="21"/>
              </w:rPr>
              <w:t>专指由</w:t>
            </w:r>
            <w:r>
              <w:rPr>
                <w:rFonts w:hint="eastAsia" w:ascii="华文仿宋" w:hAnsi="华文仿宋" w:eastAsia="华文仿宋" w:cs="华文仿宋"/>
                <w:kern w:val="0"/>
                <w:szCs w:val="21"/>
              </w:rPr>
              <w:t>市本级政府机关和事业单位采购</w:t>
            </w:r>
            <w:r>
              <w:rPr>
                <w:rFonts w:hint="eastAsia" w:ascii="华文仿宋" w:hAnsi="华文仿宋" w:eastAsia="华文仿宋" w:cs="华文仿宋"/>
                <w:kern w:val="0"/>
                <w:szCs w:val="21"/>
                <w:lang w:eastAsia="zh-CN"/>
              </w:rPr>
              <w:t>人</w:t>
            </w:r>
            <w:r>
              <w:rPr>
                <w:rFonts w:hint="eastAsia" w:ascii="华文仿宋" w:hAnsi="华文仿宋" w:eastAsia="华文仿宋" w:cs="华文仿宋"/>
                <w:kern w:val="0"/>
                <w:szCs w:val="21"/>
              </w:rPr>
              <w:t>自主选择政府采购招标代理机构</w:t>
            </w:r>
            <w:r>
              <w:rPr>
                <w:rFonts w:hint="eastAsia" w:ascii="华文仿宋" w:hAnsi="华文仿宋" w:eastAsia="华文仿宋" w:cs="华文仿宋"/>
                <w:szCs w:val="21"/>
              </w:rPr>
              <w:t>的</w:t>
            </w:r>
            <w:r>
              <w:rPr>
                <w:rFonts w:hint="eastAsia" w:ascii="华文仿宋" w:hAnsi="华文仿宋" w:eastAsia="华文仿宋" w:cs="华文仿宋"/>
                <w:szCs w:val="21"/>
                <w:lang w:val="en-US" w:eastAsia="zh-CN"/>
              </w:rPr>
              <w:t>年度委托代理协议</w:t>
            </w:r>
            <w:r>
              <w:rPr>
                <w:rFonts w:hint="eastAsia" w:ascii="华文仿宋" w:hAnsi="华文仿宋" w:eastAsia="华文仿宋" w:cs="华文仿宋"/>
                <w:szCs w:val="21"/>
              </w:rPr>
              <w:t>]业绩情况：每有一个</w:t>
            </w:r>
            <w:r>
              <w:rPr>
                <w:rFonts w:hint="eastAsia" w:ascii="华文仿宋" w:hAnsi="华文仿宋" w:eastAsia="华文仿宋" w:cs="华文仿宋"/>
                <w:b/>
                <w:bCs/>
                <w:kern w:val="0"/>
                <w:szCs w:val="21"/>
              </w:rPr>
              <w:t>得2分</w:t>
            </w:r>
            <w:r>
              <w:rPr>
                <w:rFonts w:hint="eastAsia" w:ascii="华文仿宋" w:hAnsi="华文仿宋" w:eastAsia="华文仿宋" w:cs="华文仿宋"/>
                <w:kern w:val="0"/>
                <w:szCs w:val="21"/>
              </w:rPr>
              <w:t>，</w:t>
            </w:r>
            <w:r>
              <w:rPr>
                <w:rFonts w:hint="eastAsia" w:ascii="华文仿宋" w:hAnsi="华文仿宋" w:eastAsia="华文仿宋" w:cs="华文仿宋"/>
                <w:kern w:val="0"/>
                <w:szCs w:val="21"/>
                <w:lang w:eastAsia="zh-CN"/>
              </w:rPr>
              <w:t>本项</w:t>
            </w:r>
            <w:r>
              <w:rPr>
                <w:rFonts w:hint="eastAsia" w:ascii="华文仿宋" w:hAnsi="华文仿宋" w:eastAsia="华文仿宋" w:cs="华文仿宋"/>
                <w:kern w:val="0"/>
                <w:szCs w:val="21"/>
              </w:rPr>
              <w:t>最高得10分。</w:t>
            </w:r>
          </w:p>
          <w:p w14:paraId="7983AFB4">
            <w:pPr>
              <w:jc w:val="left"/>
              <w:rPr>
                <w:rFonts w:hint="eastAsia" w:ascii="华文仿宋" w:hAnsi="华文仿宋" w:eastAsia="华文仿宋" w:cs="华文仿宋"/>
              </w:rPr>
            </w:pPr>
            <w:r>
              <w:rPr>
                <w:rFonts w:hint="eastAsia" w:ascii="华文仿宋" w:hAnsi="华文仿宋" w:eastAsia="华文仿宋" w:cs="华文仿宋"/>
                <w:kern w:val="0"/>
                <w:szCs w:val="21"/>
              </w:rPr>
              <w:t>评分中出现无证明资料或专家无法凭所提供资料判断是否得分的情况，一律作不得分处理。</w:t>
            </w:r>
          </w:p>
        </w:tc>
      </w:tr>
      <w:tr w14:paraId="4445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709" w:type="dxa"/>
            <w:vMerge w:val="continue"/>
            <w:tcBorders>
              <w:bottom w:val="nil"/>
            </w:tcBorders>
          </w:tcPr>
          <w:p w14:paraId="5848CAAA">
            <w:pPr>
              <w:rPr>
                <w:rFonts w:hint="eastAsia" w:ascii="华文仿宋" w:hAnsi="华文仿宋" w:eastAsia="华文仿宋" w:cs="华文仿宋"/>
              </w:rPr>
            </w:pPr>
          </w:p>
        </w:tc>
        <w:tc>
          <w:tcPr>
            <w:tcW w:w="851" w:type="dxa"/>
            <w:vAlign w:val="center"/>
          </w:tcPr>
          <w:p w14:paraId="44103A93">
            <w:pPr>
              <w:jc w:val="center"/>
              <w:rPr>
                <w:rFonts w:hint="eastAsia" w:ascii="华文仿宋" w:hAnsi="华文仿宋" w:eastAsia="华文仿宋" w:cs="华文仿宋"/>
                <w:lang w:eastAsia="zh-CN"/>
              </w:rPr>
            </w:pPr>
            <w:r>
              <w:rPr>
                <w:rFonts w:hint="eastAsia" w:ascii="华文仿宋" w:hAnsi="华文仿宋" w:eastAsia="华文仿宋" w:cs="华文仿宋"/>
                <w:lang w:val="en-US" w:eastAsia="zh-CN"/>
              </w:rPr>
              <w:t>3</w:t>
            </w:r>
          </w:p>
        </w:tc>
        <w:tc>
          <w:tcPr>
            <w:tcW w:w="1984" w:type="dxa"/>
            <w:vAlign w:val="center"/>
          </w:tcPr>
          <w:p w14:paraId="79A36613">
            <w:pPr>
              <w:jc w:val="center"/>
              <w:rPr>
                <w:rFonts w:hint="eastAsia" w:ascii="华文仿宋" w:hAnsi="华文仿宋" w:eastAsia="华文仿宋" w:cs="华文仿宋"/>
                <w:kern w:val="0"/>
                <w:szCs w:val="21"/>
              </w:rPr>
            </w:pPr>
            <w:r>
              <w:rPr>
                <w:rFonts w:hint="eastAsia" w:ascii="华文仿宋" w:hAnsi="华文仿宋" w:eastAsia="华文仿宋" w:cs="华文仿宋"/>
                <w:kern w:val="0"/>
                <w:szCs w:val="21"/>
                <w:lang w:eastAsia="zh-CN"/>
              </w:rPr>
              <w:t>在深评审</w:t>
            </w:r>
            <w:r>
              <w:rPr>
                <w:rFonts w:hint="eastAsia" w:ascii="华文仿宋" w:hAnsi="华文仿宋" w:eastAsia="华文仿宋" w:cs="华文仿宋"/>
                <w:kern w:val="0"/>
                <w:szCs w:val="21"/>
              </w:rPr>
              <w:t>场地情况</w:t>
            </w:r>
          </w:p>
        </w:tc>
        <w:tc>
          <w:tcPr>
            <w:tcW w:w="851" w:type="dxa"/>
            <w:vAlign w:val="center"/>
          </w:tcPr>
          <w:p w14:paraId="337F3A58">
            <w:pPr>
              <w:jc w:val="center"/>
              <w:rPr>
                <w:rFonts w:hint="default" w:ascii="华文仿宋" w:hAnsi="华文仿宋" w:eastAsia="华文仿宋" w:cs="华文仿宋"/>
                <w:kern w:val="0"/>
                <w:szCs w:val="21"/>
                <w:lang w:val="en-US" w:eastAsia="zh-CN"/>
              </w:rPr>
            </w:pPr>
            <w:r>
              <w:rPr>
                <w:rFonts w:hint="eastAsia" w:ascii="华文仿宋" w:hAnsi="华文仿宋" w:eastAsia="华文仿宋" w:cs="华文仿宋"/>
                <w:kern w:val="0"/>
                <w:szCs w:val="21"/>
                <w:lang w:val="en-US" w:eastAsia="zh-CN"/>
              </w:rPr>
              <w:t>10</w:t>
            </w:r>
          </w:p>
        </w:tc>
        <w:tc>
          <w:tcPr>
            <w:tcW w:w="5670" w:type="dxa"/>
            <w:vAlign w:val="top"/>
          </w:tcPr>
          <w:p w14:paraId="5D5F5408">
            <w:pPr>
              <w:jc w:val="left"/>
              <w:rPr>
                <w:rFonts w:hint="eastAsia" w:ascii="华文仿宋" w:hAnsi="华文仿宋" w:eastAsia="华文仿宋" w:cs="华文仿宋"/>
                <w:kern w:val="0"/>
                <w:szCs w:val="21"/>
                <w:lang w:eastAsia="zh-CN"/>
              </w:rPr>
            </w:pPr>
            <w:r>
              <w:rPr>
                <w:rFonts w:hint="eastAsia" w:ascii="华文仿宋" w:hAnsi="华文仿宋" w:eastAsia="华文仿宋" w:cs="华文仿宋"/>
                <w:kern w:val="0"/>
                <w:szCs w:val="21"/>
                <w:lang w:val="en-US" w:eastAsia="zh-CN"/>
              </w:rPr>
              <w:t>1.</w:t>
            </w:r>
            <w:r>
              <w:rPr>
                <w:rFonts w:hint="eastAsia" w:ascii="华文仿宋" w:hAnsi="华文仿宋" w:eastAsia="华文仿宋" w:cs="华文仿宋"/>
                <w:kern w:val="0"/>
                <w:szCs w:val="21"/>
              </w:rPr>
              <w:t>考察投标人在深圳的开标室、评标室数量，有</w:t>
            </w:r>
            <w:r>
              <w:rPr>
                <w:rFonts w:hint="eastAsia" w:ascii="华文仿宋" w:hAnsi="华文仿宋" w:eastAsia="华文仿宋" w:cs="华文仿宋"/>
                <w:kern w:val="0"/>
                <w:szCs w:val="21"/>
                <w:lang w:val="en-US" w:eastAsia="zh-CN"/>
              </w:rPr>
              <w:t>1</w:t>
            </w:r>
            <w:r>
              <w:rPr>
                <w:rFonts w:hint="eastAsia" w:ascii="华文仿宋" w:hAnsi="华文仿宋" w:eastAsia="华文仿宋" w:cs="华文仿宋"/>
                <w:kern w:val="0"/>
                <w:szCs w:val="21"/>
              </w:rPr>
              <w:t>间的</w:t>
            </w:r>
            <w:r>
              <w:rPr>
                <w:rFonts w:hint="eastAsia" w:ascii="华文仿宋" w:hAnsi="华文仿宋" w:eastAsia="华文仿宋" w:cs="华文仿宋"/>
                <w:b/>
                <w:bCs/>
                <w:kern w:val="0"/>
                <w:szCs w:val="21"/>
              </w:rPr>
              <w:t>得</w:t>
            </w:r>
            <w:r>
              <w:rPr>
                <w:rFonts w:hint="eastAsia" w:ascii="华文仿宋" w:hAnsi="华文仿宋" w:eastAsia="华文仿宋" w:cs="华文仿宋"/>
                <w:b/>
                <w:bCs/>
                <w:kern w:val="0"/>
                <w:szCs w:val="21"/>
                <w:lang w:val="en-US" w:eastAsia="zh-CN"/>
              </w:rPr>
              <w:t>1</w:t>
            </w:r>
            <w:r>
              <w:rPr>
                <w:rFonts w:hint="eastAsia" w:ascii="华文仿宋" w:hAnsi="华文仿宋" w:eastAsia="华文仿宋" w:cs="华文仿宋"/>
                <w:b/>
                <w:bCs/>
                <w:kern w:val="0"/>
                <w:szCs w:val="21"/>
              </w:rPr>
              <w:t>分</w:t>
            </w:r>
            <w:r>
              <w:rPr>
                <w:rFonts w:hint="eastAsia" w:ascii="华文仿宋" w:hAnsi="华文仿宋" w:eastAsia="华文仿宋" w:cs="华文仿宋"/>
                <w:b/>
                <w:bCs/>
                <w:kern w:val="0"/>
                <w:szCs w:val="21"/>
                <w:lang w:eastAsia="zh-CN"/>
              </w:rPr>
              <w:t>，</w:t>
            </w:r>
            <w:r>
              <w:rPr>
                <w:rFonts w:hint="eastAsia" w:ascii="华文仿宋" w:hAnsi="华文仿宋" w:eastAsia="华文仿宋" w:cs="华文仿宋"/>
                <w:b w:val="0"/>
                <w:bCs w:val="0"/>
                <w:kern w:val="0"/>
                <w:szCs w:val="21"/>
                <w:lang w:eastAsia="zh-CN"/>
              </w:rPr>
              <w:t>本项</w:t>
            </w:r>
            <w:r>
              <w:rPr>
                <w:rFonts w:hint="eastAsia" w:ascii="华文仿宋" w:hAnsi="华文仿宋" w:eastAsia="华文仿宋" w:cs="华文仿宋"/>
                <w:kern w:val="0"/>
                <w:szCs w:val="21"/>
              </w:rPr>
              <w:t>最高得</w:t>
            </w:r>
            <w:r>
              <w:rPr>
                <w:rFonts w:hint="eastAsia" w:ascii="华文仿宋" w:hAnsi="华文仿宋" w:eastAsia="华文仿宋" w:cs="华文仿宋"/>
                <w:kern w:val="0"/>
                <w:szCs w:val="21"/>
                <w:lang w:val="en-US" w:eastAsia="zh-CN"/>
              </w:rPr>
              <w:t>6</w:t>
            </w:r>
            <w:r>
              <w:rPr>
                <w:rFonts w:hint="eastAsia" w:ascii="华文仿宋" w:hAnsi="华文仿宋" w:eastAsia="华文仿宋" w:cs="华文仿宋"/>
                <w:kern w:val="0"/>
                <w:szCs w:val="21"/>
              </w:rPr>
              <w:t>分</w:t>
            </w:r>
            <w:r>
              <w:rPr>
                <w:rFonts w:hint="eastAsia" w:ascii="华文仿宋" w:hAnsi="华文仿宋" w:eastAsia="华文仿宋" w:cs="华文仿宋"/>
                <w:kern w:val="0"/>
                <w:szCs w:val="21"/>
                <w:lang w:eastAsia="zh-CN"/>
              </w:rPr>
              <w:t>，</w:t>
            </w:r>
            <w:r>
              <w:rPr>
                <w:rFonts w:hint="eastAsia" w:ascii="华文仿宋" w:hAnsi="华文仿宋" w:eastAsia="华文仿宋" w:cs="华文仿宋"/>
                <w:kern w:val="0"/>
                <w:szCs w:val="21"/>
              </w:rPr>
              <w:t>没有的</w:t>
            </w:r>
            <w:r>
              <w:rPr>
                <w:rFonts w:hint="eastAsia" w:ascii="华文仿宋" w:hAnsi="华文仿宋" w:eastAsia="华文仿宋" w:cs="华文仿宋"/>
                <w:b/>
                <w:bCs/>
                <w:kern w:val="0"/>
                <w:szCs w:val="21"/>
              </w:rPr>
              <w:t>不得分</w:t>
            </w:r>
            <w:r>
              <w:rPr>
                <w:rFonts w:hint="eastAsia" w:ascii="华文仿宋" w:hAnsi="华文仿宋" w:eastAsia="华文仿宋" w:cs="华文仿宋"/>
                <w:b/>
                <w:bCs/>
                <w:kern w:val="0"/>
                <w:szCs w:val="21"/>
                <w:lang w:eastAsia="zh-CN"/>
              </w:rPr>
              <w:t>；</w:t>
            </w:r>
          </w:p>
          <w:p w14:paraId="5F7E08F6">
            <w:pPr>
              <w:jc w:val="both"/>
              <w:rPr>
                <w:rFonts w:hint="eastAsia" w:ascii="华文仿宋" w:hAnsi="华文仿宋" w:eastAsia="华文仿宋" w:cs="华文仿宋"/>
                <w:kern w:val="0"/>
                <w:szCs w:val="21"/>
                <w:lang w:val="en-US" w:eastAsia="zh-CN"/>
              </w:rPr>
            </w:pPr>
            <w:r>
              <w:rPr>
                <w:rFonts w:hint="eastAsia" w:ascii="华文仿宋" w:hAnsi="华文仿宋" w:eastAsia="华文仿宋" w:cs="华文仿宋"/>
                <w:kern w:val="0"/>
                <w:szCs w:val="21"/>
                <w:lang w:val="en-US" w:eastAsia="zh-CN"/>
              </w:rPr>
              <w:t>2.</w:t>
            </w:r>
            <w:r>
              <w:rPr>
                <w:rFonts w:hint="eastAsia" w:ascii="华文仿宋" w:hAnsi="华文仿宋" w:eastAsia="华文仿宋" w:cs="华文仿宋"/>
                <w:kern w:val="0"/>
                <w:szCs w:val="21"/>
              </w:rPr>
              <w:t>考察投标人在深圳</w:t>
            </w:r>
            <w:r>
              <w:rPr>
                <w:rFonts w:hint="eastAsia" w:ascii="华文仿宋" w:hAnsi="华文仿宋" w:eastAsia="华文仿宋" w:cs="华文仿宋"/>
                <w:kern w:val="0"/>
                <w:szCs w:val="21"/>
                <w:lang w:val="en-US" w:eastAsia="zh-CN"/>
              </w:rPr>
              <w:t>是否有独立监控室、独立档案室、专家休息室和投标人等待区，每有1个</w:t>
            </w:r>
            <w:r>
              <w:rPr>
                <w:rFonts w:hint="eastAsia" w:ascii="华文仿宋" w:hAnsi="华文仿宋" w:eastAsia="华文仿宋" w:cs="华文仿宋"/>
                <w:b/>
                <w:bCs/>
                <w:kern w:val="0"/>
                <w:szCs w:val="21"/>
                <w:lang w:val="en-US" w:eastAsia="zh-CN"/>
              </w:rPr>
              <w:t>得1分</w:t>
            </w:r>
            <w:r>
              <w:rPr>
                <w:rFonts w:hint="eastAsia" w:ascii="华文仿宋" w:hAnsi="华文仿宋" w:eastAsia="华文仿宋" w:cs="华文仿宋"/>
                <w:kern w:val="0"/>
                <w:szCs w:val="21"/>
                <w:lang w:val="en-US" w:eastAsia="zh-CN"/>
              </w:rPr>
              <w:t>，本项</w:t>
            </w:r>
            <w:r>
              <w:rPr>
                <w:rFonts w:hint="eastAsia" w:ascii="华文仿宋" w:hAnsi="华文仿宋" w:eastAsia="华文仿宋" w:cs="华文仿宋"/>
                <w:kern w:val="0"/>
                <w:szCs w:val="21"/>
              </w:rPr>
              <w:t>最高得</w:t>
            </w:r>
            <w:r>
              <w:rPr>
                <w:rFonts w:hint="eastAsia" w:ascii="华文仿宋" w:hAnsi="华文仿宋" w:eastAsia="华文仿宋" w:cs="华文仿宋"/>
                <w:kern w:val="0"/>
                <w:szCs w:val="21"/>
                <w:lang w:val="en-US" w:eastAsia="zh-CN"/>
              </w:rPr>
              <w:t>4</w:t>
            </w:r>
            <w:r>
              <w:rPr>
                <w:rFonts w:hint="eastAsia" w:ascii="华文仿宋" w:hAnsi="华文仿宋" w:eastAsia="华文仿宋" w:cs="华文仿宋"/>
                <w:kern w:val="0"/>
                <w:szCs w:val="21"/>
              </w:rPr>
              <w:t>分</w:t>
            </w:r>
            <w:r>
              <w:rPr>
                <w:rFonts w:hint="eastAsia" w:ascii="华文仿宋" w:hAnsi="华文仿宋" w:eastAsia="华文仿宋" w:cs="华文仿宋"/>
                <w:kern w:val="0"/>
                <w:szCs w:val="21"/>
                <w:lang w:eastAsia="zh-CN"/>
              </w:rPr>
              <w:t>，</w:t>
            </w:r>
            <w:r>
              <w:rPr>
                <w:rFonts w:hint="eastAsia" w:ascii="华文仿宋" w:hAnsi="华文仿宋" w:eastAsia="华文仿宋" w:cs="华文仿宋"/>
                <w:kern w:val="0"/>
                <w:szCs w:val="21"/>
                <w:lang w:val="en-US" w:eastAsia="zh-CN"/>
              </w:rPr>
              <w:t>没有的</w:t>
            </w:r>
            <w:r>
              <w:rPr>
                <w:rFonts w:hint="eastAsia" w:ascii="华文仿宋" w:hAnsi="华文仿宋" w:eastAsia="华文仿宋" w:cs="华文仿宋"/>
                <w:b/>
                <w:bCs/>
                <w:kern w:val="0"/>
                <w:szCs w:val="21"/>
                <w:lang w:val="en-US" w:eastAsia="zh-CN"/>
              </w:rPr>
              <w:t>不得分</w:t>
            </w:r>
            <w:r>
              <w:rPr>
                <w:rFonts w:hint="eastAsia" w:ascii="华文仿宋" w:hAnsi="华文仿宋" w:eastAsia="华文仿宋" w:cs="华文仿宋"/>
                <w:kern w:val="0"/>
                <w:szCs w:val="21"/>
                <w:lang w:val="en-US" w:eastAsia="zh-CN"/>
              </w:rPr>
              <w:t>。</w:t>
            </w:r>
          </w:p>
          <w:p w14:paraId="56F877FC">
            <w:pPr>
              <w:jc w:val="left"/>
              <w:rPr>
                <w:rFonts w:hint="eastAsia" w:ascii="华文仿宋" w:hAnsi="华文仿宋" w:eastAsia="华文仿宋" w:cs="华文仿宋"/>
                <w:kern w:val="0"/>
                <w:szCs w:val="21"/>
              </w:rPr>
            </w:pPr>
            <w:r>
              <w:rPr>
                <w:rFonts w:hint="eastAsia" w:ascii="华文仿宋" w:hAnsi="华文仿宋" w:eastAsia="华文仿宋" w:cs="华文仿宋"/>
                <w:kern w:val="0"/>
                <w:szCs w:val="21"/>
              </w:rPr>
              <w:t>评分中出现无证明资料或专家无法凭所提供资料判断是</w:t>
            </w:r>
            <w:r>
              <w:rPr>
                <w:rFonts w:hint="eastAsia" w:ascii="华文仿宋" w:hAnsi="华文仿宋" w:eastAsia="华文仿宋" w:cs="华文仿宋"/>
                <w:kern w:val="0"/>
                <w:szCs w:val="21"/>
                <w:lang w:val="en-US" w:eastAsia="zh-CN"/>
              </w:rPr>
              <w:t>否</w:t>
            </w:r>
            <w:r>
              <w:rPr>
                <w:rFonts w:hint="eastAsia" w:ascii="华文仿宋" w:hAnsi="华文仿宋" w:eastAsia="华文仿宋" w:cs="华文仿宋"/>
                <w:kern w:val="0"/>
                <w:szCs w:val="21"/>
              </w:rPr>
              <w:t>得分的情况，一律作不得分处理。</w:t>
            </w:r>
          </w:p>
        </w:tc>
      </w:tr>
      <w:tr w14:paraId="7D8F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85D797F">
            <w:pPr>
              <w:jc w:val="center"/>
              <w:rPr>
                <w:rFonts w:hint="eastAsia" w:ascii="华文仿宋" w:hAnsi="华文仿宋" w:eastAsia="华文仿宋" w:cs="华文仿宋"/>
                <w:b/>
              </w:rPr>
            </w:pPr>
            <w:r>
              <w:rPr>
                <w:rFonts w:hint="eastAsia" w:ascii="华文仿宋" w:hAnsi="华文仿宋" w:eastAsia="华文仿宋" w:cs="华文仿宋"/>
                <w:b/>
              </w:rPr>
              <w:t>3</w:t>
            </w:r>
          </w:p>
        </w:tc>
        <w:tc>
          <w:tcPr>
            <w:tcW w:w="2835" w:type="dxa"/>
            <w:gridSpan w:val="2"/>
            <w:vAlign w:val="center"/>
          </w:tcPr>
          <w:p w14:paraId="3C49A050">
            <w:pPr>
              <w:jc w:val="center"/>
              <w:rPr>
                <w:rFonts w:hint="eastAsia" w:ascii="华文仿宋" w:hAnsi="华文仿宋" w:eastAsia="华文仿宋" w:cs="华文仿宋"/>
                <w:b/>
                <w:lang w:val="en-US" w:eastAsia="zh-CN"/>
              </w:rPr>
            </w:pPr>
            <w:r>
              <w:rPr>
                <w:rFonts w:hint="eastAsia" w:ascii="华文仿宋" w:hAnsi="华文仿宋" w:eastAsia="华文仿宋" w:cs="华文仿宋"/>
                <w:b/>
                <w:kern w:val="0"/>
                <w:szCs w:val="21"/>
                <w:lang w:val="en-US" w:eastAsia="zh-CN"/>
              </w:rPr>
              <w:t>价格部分</w:t>
            </w:r>
          </w:p>
        </w:tc>
        <w:tc>
          <w:tcPr>
            <w:tcW w:w="6521" w:type="dxa"/>
            <w:gridSpan w:val="2"/>
            <w:vAlign w:val="center"/>
          </w:tcPr>
          <w:p w14:paraId="26887C56">
            <w:pPr>
              <w:wordWrap w:val="0"/>
              <w:jc w:val="center"/>
              <w:rPr>
                <w:rFonts w:hint="eastAsia" w:ascii="华文仿宋" w:hAnsi="华文仿宋" w:eastAsia="华文仿宋" w:cs="华文仿宋"/>
                <w:b/>
                <w:szCs w:val="21"/>
              </w:rPr>
            </w:pPr>
            <w:r>
              <w:rPr>
                <w:rFonts w:hint="eastAsia" w:ascii="华文仿宋" w:hAnsi="华文仿宋" w:eastAsia="华文仿宋" w:cs="华文仿宋"/>
                <w:b/>
                <w:szCs w:val="21"/>
              </w:rPr>
              <w:t>10</w:t>
            </w:r>
          </w:p>
        </w:tc>
      </w:tr>
      <w:tr w14:paraId="60B8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09" w:type="dxa"/>
            <w:vAlign w:val="center"/>
          </w:tcPr>
          <w:p w14:paraId="7E77D0AC">
            <w:pPr>
              <w:pStyle w:val="2"/>
              <w:rPr>
                <w:rFonts w:hint="eastAsia" w:ascii="华文仿宋" w:hAnsi="华文仿宋" w:eastAsia="华文仿宋" w:cs="华文仿宋"/>
                <w:lang w:val="en-US" w:eastAsia="zh-CN"/>
              </w:rPr>
            </w:pPr>
          </w:p>
        </w:tc>
        <w:tc>
          <w:tcPr>
            <w:tcW w:w="2835" w:type="dxa"/>
            <w:gridSpan w:val="2"/>
            <w:vAlign w:val="center"/>
          </w:tcPr>
          <w:p w14:paraId="2D054B8C">
            <w:pPr>
              <w:widowControl/>
              <w:jc w:val="center"/>
              <w:rPr>
                <w:rFonts w:hint="eastAsia" w:ascii="华文仿宋" w:hAnsi="华文仿宋" w:eastAsia="华文仿宋" w:cs="华文仿宋"/>
                <w:kern w:val="0"/>
                <w:szCs w:val="21"/>
              </w:rPr>
            </w:pPr>
            <w:r>
              <w:rPr>
                <w:rFonts w:hint="eastAsia" w:ascii="华文仿宋" w:hAnsi="华文仿宋" w:eastAsia="华文仿宋" w:cs="华文仿宋"/>
                <w:kern w:val="0"/>
                <w:szCs w:val="21"/>
                <w:lang w:val="zh-CN"/>
              </w:rPr>
              <w:t>按公式计算评分</w:t>
            </w:r>
          </w:p>
        </w:tc>
        <w:tc>
          <w:tcPr>
            <w:tcW w:w="6521" w:type="dxa"/>
            <w:gridSpan w:val="2"/>
            <w:vAlign w:val="center"/>
          </w:tcPr>
          <w:p w14:paraId="5A2144A2">
            <w:pPr>
              <w:widowControl/>
              <w:jc w:val="left"/>
              <w:rPr>
                <w:rFonts w:hint="eastAsia" w:ascii="华文仿宋" w:hAnsi="华文仿宋" w:eastAsia="华文仿宋" w:cs="华文仿宋"/>
                <w:kern w:val="0"/>
                <w:szCs w:val="21"/>
              </w:rPr>
            </w:pPr>
            <w:r>
              <w:rPr>
                <w:rFonts w:hint="eastAsia" w:ascii="华文仿宋" w:hAnsi="华文仿宋" w:eastAsia="华文仿宋" w:cs="华文仿宋"/>
                <w:kern w:val="0"/>
                <w:szCs w:val="21"/>
              </w:rPr>
              <w:t>投标人按照《深圳市财政委员会关于规范深圳市社会采购代理机构管理有关事项的补充通知》（深财购〔2018〕27号）收费标准，自行填报投标下浮率</w:t>
            </w:r>
            <w:r>
              <w:rPr>
                <w:rFonts w:hint="eastAsia" w:ascii="华文仿宋" w:hAnsi="华文仿宋" w:eastAsia="华文仿宋" w:cs="华文仿宋"/>
                <w:kern w:val="0"/>
                <w:szCs w:val="21"/>
                <w:lang w:eastAsia="zh-CN"/>
              </w:rPr>
              <w:t>。</w:t>
            </w:r>
            <w:r>
              <w:rPr>
                <w:rFonts w:hint="eastAsia" w:ascii="华文仿宋" w:hAnsi="华文仿宋" w:eastAsia="华文仿宋" w:cs="华文仿宋"/>
                <w:kern w:val="0"/>
                <w:szCs w:val="21"/>
              </w:rPr>
              <w:t>价格分采用低价优先法计算，即满足招标文件要求且投标下浮率最</w:t>
            </w:r>
            <w:r>
              <w:rPr>
                <w:rFonts w:hint="eastAsia" w:ascii="华文仿宋" w:hAnsi="华文仿宋" w:eastAsia="华文仿宋" w:cs="华文仿宋"/>
                <w:kern w:val="0"/>
                <w:szCs w:val="21"/>
                <w:lang w:eastAsia="zh-CN"/>
              </w:rPr>
              <w:t>高</w:t>
            </w:r>
            <w:r>
              <w:rPr>
                <w:rFonts w:hint="eastAsia" w:ascii="华文仿宋" w:hAnsi="华文仿宋" w:eastAsia="华文仿宋" w:cs="华文仿宋"/>
                <w:kern w:val="0"/>
                <w:szCs w:val="21"/>
              </w:rPr>
              <w:t>的投标下浮率为评标基准下浮率，其价格分为满分。其他投标人的价格分统一按照下列公式计算：</w:t>
            </w:r>
          </w:p>
          <w:p w14:paraId="5A0280A5">
            <w:pPr>
              <w:widowControl/>
              <w:jc w:val="left"/>
              <w:rPr>
                <w:rFonts w:hint="eastAsia" w:ascii="华文仿宋" w:hAnsi="华文仿宋" w:eastAsia="华文仿宋" w:cs="华文仿宋"/>
                <w:kern w:val="0"/>
                <w:szCs w:val="21"/>
              </w:rPr>
            </w:pPr>
            <w:r>
              <w:rPr>
                <w:rFonts w:hint="eastAsia" w:ascii="华文仿宋" w:hAnsi="华文仿宋" w:eastAsia="华文仿宋" w:cs="华文仿宋"/>
                <w:kern w:val="0"/>
                <w:szCs w:val="21"/>
              </w:rPr>
              <w:t>投标报价得分=(投标下浮率／评标基准下浮率)×权重</w:t>
            </w:r>
          </w:p>
          <w:p w14:paraId="55798DF9">
            <w:pPr>
              <w:widowControl/>
              <w:jc w:val="left"/>
              <w:rPr>
                <w:rFonts w:hint="eastAsia" w:ascii="华文仿宋" w:hAnsi="华文仿宋" w:eastAsia="华文仿宋" w:cs="华文仿宋"/>
                <w:kern w:val="0"/>
                <w:szCs w:val="21"/>
              </w:rPr>
            </w:pPr>
            <w:r>
              <w:rPr>
                <w:rFonts w:hint="eastAsia" w:ascii="华文仿宋" w:hAnsi="华文仿宋" w:eastAsia="华文仿宋" w:cs="华文仿宋"/>
                <w:kern w:val="0"/>
                <w:szCs w:val="21"/>
              </w:rPr>
              <w:t>备注：</w:t>
            </w:r>
          </w:p>
          <w:p w14:paraId="4B5EEDDD">
            <w:pPr>
              <w:widowControl/>
              <w:jc w:val="left"/>
              <w:rPr>
                <w:rFonts w:hint="eastAsia" w:ascii="华文仿宋" w:hAnsi="华文仿宋" w:eastAsia="华文仿宋" w:cs="华文仿宋"/>
                <w:kern w:val="0"/>
                <w:szCs w:val="21"/>
              </w:rPr>
            </w:pPr>
            <w:r>
              <w:rPr>
                <w:rFonts w:hint="eastAsia" w:ascii="华文仿宋" w:hAnsi="华文仿宋" w:eastAsia="华文仿宋" w:cs="华文仿宋"/>
                <w:kern w:val="0"/>
                <w:szCs w:val="21"/>
                <w:lang w:val="en-US" w:eastAsia="zh-CN"/>
              </w:rPr>
              <w:t>1</w:t>
            </w:r>
            <w:r>
              <w:rPr>
                <w:rFonts w:hint="eastAsia" w:ascii="华文仿宋" w:hAnsi="华文仿宋" w:eastAsia="华文仿宋" w:cs="华文仿宋"/>
                <w:kern w:val="0"/>
                <w:szCs w:val="21"/>
              </w:rPr>
              <w:t>、投标报价得分四舍五入后，小数点后保留两位有效数。</w:t>
            </w:r>
          </w:p>
        </w:tc>
      </w:tr>
    </w:tbl>
    <w:p w14:paraId="66BE5583">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注：</w:t>
      </w:r>
    </w:p>
    <w:p w14:paraId="0F21F4EF">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1.每一项的得分均不能超过该项最高分值。</w:t>
      </w:r>
    </w:p>
    <w:p w14:paraId="0EF5241B">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2.缺项则该项为0分或不合格为0分。</w:t>
      </w:r>
    </w:p>
    <w:p w14:paraId="4C132A33">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3.技术、商务部分为针对项目具体情况设置项目，累加满分为100分。</w:t>
      </w:r>
    </w:p>
    <w:p w14:paraId="08A48DDD">
      <w:pPr>
        <w:spacing w:line="360" w:lineRule="auto"/>
        <w:ind w:firstLine="420" w:firstLineChars="200"/>
        <w:rPr>
          <w:rFonts w:cs="Arial" w:asciiTheme="minorEastAsia" w:hAnsiTheme="minorEastAsia" w:eastAsiaTheme="minorEastAsia"/>
          <w:snapToGrid w:val="0"/>
          <w:kern w:val="0"/>
          <w:szCs w:val="21"/>
        </w:rPr>
      </w:pPr>
      <w:r>
        <w:rPr>
          <w:rFonts w:hint="eastAsia" w:asciiTheme="minorEastAsia" w:hAnsiTheme="minorEastAsia" w:eastAsiaTheme="minorEastAsia"/>
          <w:szCs w:val="21"/>
        </w:rPr>
        <w:t>4.综合以上</w:t>
      </w:r>
      <w:r>
        <w:rPr>
          <w:rFonts w:hint="eastAsia" w:asciiTheme="minorEastAsia" w:hAnsiTheme="minorEastAsia" w:eastAsiaTheme="minorEastAsia"/>
          <w:snapToGrid w:val="0"/>
          <w:kern w:val="0"/>
          <w:szCs w:val="21"/>
        </w:rPr>
        <w:t>分析比较，</w:t>
      </w:r>
      <w:r>
        <w:rPr>
          <w:rFonts w:hint="eastAsia" w:asciiTheme="minorEastAsia" w:hAnsiTheme="minorEastAsia" w:eastAsiaTheme="minorEastAsia"/>
          <w:bCs/>
          <w:szCs w:val="21"/>
          <w:lang w:eastAsia="zh-CN"/>
        </w:rPr>
        <w:t>中心招标小组</w:t>
      </w:r>
      <w:r>
        <w:rPr>
          <w:rFonts w:hint="eastAsia" w:asciiTheme="minorEastAsia" w:hAnsiTheme="minorEastAsia" w:eastAsiaTheme="minorEastAsia"/>
          <w:snapToGrid w:val="0"/>
          <w:kern w:val="0"/>
          <w:szCs w:val="21"/>
        </w:rPr>
        <w:t>将对各投标文件进行书面的量化评定，得分</w:t>
      </w:r>
      <w:r>
        <w:rPr>
          <w:rFonts w:hint="eastAsia" w:cs="Arial" w:asciiTheme="minorEastAsia" w:hAnsiTheme="minorEastAsia" w:eastAsiaTheme="minorEastAsia"/>
          <w:snapToGrid w:val="0"/>
          <w:kern w:val="0"/>
          <w:szCs w:val="21"/>
        </w:rPr>
        <w:t>精确到小数点后一位。</w:t>
      </w:r>
    </w:p>
    <w:p w14:paraId="6E8053A3">
      <w:pPr>
        <w:rPr>
          <w:rFonts w:asciiTheme="minorEastAsia" w:hAnsiTheme="minorEastAsia" w:eastAsiaTheme="minorEastAsia"/>
          <w:szCs w:val="21"/>
        </w:rPr>
      </w:pPr>
    </w:p>
    <w:p w14:paraId="1F649B03">
      <w:pPr>
        <w:rPr>
          <w:rFonts w:asciiTheme="minorEastAsia" w:hAnsiTheme="minorEastAsia" w:eastAsiaTheme="minorEastAsia"/>
          <w:szCs w:val="21"/>
        </w:rPr>
      </w:pPr>
    </w:p>
    <w:p w14:paraId="454FAAD0">
      <w:pPr>
        <w:widowControl/>
        <w:jc w:val="left"/>
        <w:rPr>
          <w:rFonts w:asciiTheme="minorEastAsia" w:hAnsiTheme="minorEastAsia" w:eastAsiaTheme="minorEastAsia"/>
          <w:b/>
          <w:bCs/>
          <w:szCs w:val="21"/>
        </w:rPr>
      </w:pPr>
      <w:r>
        <w:rPr>
          <w:rFonts w:hint="eastAsia" w:asciiTheme="minorEastAsia" w:hAnsiTheme="minorEastAsia" w:eastAsiaTheme="minorEastAsia"/>
          <w:szCs w:val="21"/>
        </w:rPr>
        <w:br w:type="page"/>
      </w:r>
    </w:p>
    <w:p w14:paraId="711A2AB1">
      <w:pPr>
        <w:pStyle w:val="3"/>
        <w:spacing w:line="360" w:lineRule="auto"/>
        <w:jc w:val="center"/>
        <w:rPr>
          <w:rFonts w:asciiTheme="minorEastAsia" w:hAnsiTheme="minorEastAsia" w:eastAsiaTheme="minorEastAsia"/>
          <w:szCs w:val="21"/>
        </w:rPr>
      </w:pPr>
      <w:bookmarkStart w:id="211" w:name="_Toc871885930"/>
      <w:r>
        <w:rPr>
          <w:rFonts w:hint="eastAsia" w:asciiTheme="minorEastAsia" w:hAnsiTheme="minorEastAsia" w:eastAsiaTheme="minorEastAsia"/>
          <w:szCs w:val="21"/>
        </w:rPr>
        <w:t>第三章  招标项目需求</w:t>
      </w:r>
      <w:bookmarkEnd w:id="211"/>
    </w:p>
    <w:p w14:paraId="3D58DF54">
      <w:pPr>
        <w:snapToGrid w:val="0"/>
        <w:spacing w:line="360" w:lineRule="auto"/>
        <w:rPr>
          <w:rFonts w:cs="宋体" w:asciiTheme="minorEastAsia" w:hAnsiTheme="minorEastAsia" w:eastAsiaTheme="minorEastAsia"/>
          <w:b/>
          <w:szCs w:val="21"/>
        </w:rPr>
      </w:pPr>
    </w:p>
    <w:p w14:paraId="7F73EA38">
      <w:pPr>
        <w:rPr>
          <w:rFonts w:asciiTheme="minorEastAsia" w:hAnsiTheme="minorEastAsia" w:eastAsiaTheme="minorEastAsia"/>
          <w:b/>
        </w:rPr>
      </w:pPr>
    </w:p>
    <w:p w14:paraId="3BB704EE">
      <w:pPr>
        <w:rPr>
          <w:rFonts w:asciiTheme="minorEastAsia" w:hAnsiTheme="minorEastAsia" w:eastAsiaTheme="minorEastAsia"/>
          <w:b/>
        </w:rPr>
      </w:pPr>
      <w:r>
        <w:rPr>
          <w:rFonts w:hint="eastAsia" w:asciiTheme="minorEastAsia" w:hAnsiTheme="minorEastAsia" w:eastAsiaTheme="minorEastAsia"/>
          <w:b/>
        </w:rPr>
        <w:t>说明：</w:t>
      </w:r>
    </w:p>
    <w:p w14:paraId="674095BD">
      <w:pPr>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1、本招标项目要求中所出现的工艺、材料、设备或参照的品牌仅为方便描述而没有限制性，投标人可以在其提供的文件资料中选用替代标准，但这些替代标准要优于或相当于技术规格中要求的标准。</w:t>
      </w:r>
    </w:p>
    <w:p w14:paraId="1DF8CA40">
      <w:pPr>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2、本项目由采购人授权评审委员会确定中标供应商，中标供应商数量为评标总得分前</w:t>
      </w:r>
      <w:r>
        <w:rPr>
          <w:rFonts w:asciiTheme="minorEastAsia" w:hAnsiTheme="minorEastAsia" w:eastAsiaTheme="minorEastAsia"/>
          <w:b/>
          <w:szCs w:val="21"/>
          <w:u w:val="single"/>
        </w:rPr>
        <w:t xml:space="preserve"> </w:t>
      </w:r>
      <w:r>
        <w:rPr>
          <w:rFonts w:hint="eastAsia" w:asciiTheme="minorEastAsia" w:hAnsiTheme="minorEastAsia" w:eastAsiaTheme="minorEastAsia"/>
          <w:b/>
          <w:szCs w:val="21"/>
          <w:u w:val="single"/>
          <w:lang w:val="en-US" w:eastAsia="zh-CN"/>
        </w:rPr>
        <w:t>3</w:t>
      </w:r>
      <w:r>
        <w:rPr>
          <w:rFonts w:asciiTheme="minorEastAsia" w:hAnsiTheme="minorEastAsia" w:eastAsiaTheme="minorEastAsia"/>
          <w:b/>
          <w:szCs w:val="21"/>
          <w:u w:val="single"/>
        </w:rPr>
        <w:t xml:space="preserve"> </w:t>
      </w:r>
      <w:r>
        <w:rPr>
          <w:rFonts w:hint="eastAsia" w:asciiTheme="minorEastAsia" w:hAnsiTheme="minorEastAsia" w:eastAsiaTheme="minorEastAsia"/>
          <w:b/>
          <w:szCs w:val="21"/>
        </w:rPr>
        <w:t>家，如投标供应商不足3家的将做流标处理，并重新组织招标。</w:t>
      </w:r>
    </w:p>
    <w:p w14:paraId="436751FF">
      <w:pPr>
        <w:ind w:firstLine="422" w:firstLineChars="200"/>
        <w:rPr>
          <w:rFonts w:asciiTheme="minorEastAsia" w:hAnsiTheme="minorEastAsia" w:eastAsiaTheme="minorEastAsia"/>
          <w:b/>
          <w:szCs w:val="21"/>
        </w:rPr>
      </w:pPr>
    </w:p>
    <w:p w14:paraId="173032D8">
      <w:pPr>
        <w:ind w:firstLine="422" w:firstLineChars="200"/>
        <w:rPr>
          <w:rFonts w:asciiTheme="minorEastAsia" w:hAnsiTheme="minorEastAsia" w:eastAsiaTheme="minorEastAsia"/>
          <w:b/>
        </w:rPr>
      </w:pPr>
      <w:r>
        <w:rPr>
          <w:rFonts w:hint="eastAsia" w:asciiTheme="minorEastAsia" w:hAnsiTheme="minorEastAsia" w:eastAsiaTheme="minorEastAsia"/>
          <w:b/>
        </w:rPr>
        <w:t>一、项目基本信息</w:t>
      </w:r>
    </w:p>
    <w:tbl>
      <w:tblPr>
        <w:tblStyle w:val="48"/>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7122"/>
      </w:tblGrid>
      <w:tr w14:paraId="4E02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1917" w:type="dxa"/>
            <w:tcBorders>
              <w:top w:val="single" w:color="auto" w:sz="4" w:space="0"/>
              <w:left w:val="single" w:color="auto" w:sz="4" w:space="0"/>
              <w:bottom w:val="single" w:color="auto" w:sz="4" w:space="0"/>
              <w:right w:val="single" w:color="auto" w:sz="4" w:space="0"/>
            </w:tcBorders>
            <w:vAlign w:val="center"/>
          </w:tcPr>
          <w:p w14:paraId="0C4C3B8D">
            <w:pPr>
              <w:jc w:val="center"/>
              <w:rPr>
                <w:rFonts w:asciiTheme="minorEastAsia" w:hAnsiTheme="minorEastAsia" w:eastAsiaTheme="minorEastAsia"/>
                <w:bCs/>
                <w:szCs w:val="21"/>
              </w:rPr>
            </w:pPr>
            <w:r>
              <w:rPr>
                <w:rFonts w:hint="eastAsia" w:asciiTheme="minorEastAsia" w:hAnsiTheme="minorEastAsia" w:eastAsiaTheme="minorEastAsia"/>
                <w:bCs/>
                <w:szCs w:val="21"/>
              </w:rPr>
              <w:t>项目名称</w:t>
            </w:r>
          </w:p>
        </w:tc>
        <w:tc>
          <w:tcPr>
            <w:tcW w:w="7122" w:type="dxa"/>
            <w:tcBorders>
              <w:top w:val="single" w:color="auto" w:sz="4" w:space="0"/>
              <w:left w:val="single" w:color="auto" w:sz="4" w:space="0"/>
              <w:bottom w:val="single" w:color="auto" w:sz="4" w:space="0"/>
              <w:right w:val="single" w:color="auto" w:sz="4" w:space="0"/>
            </w:tcBorders>
            <w:vAlign w:val="center"/>
          </w:tcPr>
          <w:p w14:paraId="1F486487">
            <w:pPr>
              <w:jc w:val="left"/>
              <w:rPr>
                <w:rFonts w:asciiTheme="minorEastAsia" w:hAnsiTheme="minorEastAsia" w:eastAsiaTheme="minorEastAsia"/>
                <w:szCs w:val="21"/>
              </w:rPr>
            </w:pPr>
            <w:r>
              <w:rPr>
                <w:rFonts w:hint="eastAsia" w:cs="宋体" w:asciiTheme="minorEastAsia" w:hAnsiTheme="minorEastAsia" w:eastAsiaTheme="minorEastAsia"/>
                <w:b/>
                <w:kern w:val="0"/>
                <w:szCs w:val="28"/>
                <w:lang w:eastAsia="zh-CN"/>
              </w:rPr>
              <w:t>深圳市科技创新战略研究中心（深圳虚拟大学园管理服务中心）2026-2027年度社会采购代理机构遴选项目</w:t>
            </w:r>
          </w:p>
        </w:tc>
      </w:tr>
      <w:tr w14:paraId="1B64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917" w:type="dxa"/>
            <w:tcBorders>
              <w:top w:val="single" w:color="auto" w:sz="4" w:space="0"/>
              <w:left w:val="single" w:color="auto" w:sz="4" w:space="0"/>
              <w:bottom w:val="single" w:color="auto" w:sz="4" w:space="0"/>
              <w:right w:val="single" w:color="auto" w:sz="4" w:space="0"/>
            </w:tcBorders>
            <w:vAlign w:val="center"/>
          </w:tcPr>
          <w:p w14:paraId="2CE1A08D">
            <w:pPr>
              <w:jc w:val="center"/>
              <w:rPr>
                <w:rFonts w:asciiTheme="minorEastAsia" w:hAnsiTheme="minorEastAsia" w:eastAsiaTheme="minorEastAsia"/>
                <w:bCs/>
                <w:szCs w:val="21"/>
              </w:rPr>
            </w:pPr>
            <w:r>
              <w:rPr>
                <w:rFonts w:hint="eastAsia" w:asciiTheme="minorEastAsia" w:hAnsiTheme="minorEastAsia" w:eastAsiaTheme="minorEastAsia"/>
                <w:bCs/>
                <w:szCs w:val="21"/>
              </w:rPr>
              <w:t>采购人</w:t>
            </w:r>
          </w:p>
        </w:tc>
        <w:tc>
          <w:tcPr>
            <w:tcW w:w="7122" w:type="dxa"/>
            <w:tcBorders>
              <w:top w:val="single" w:color="auto" w:sz="4" w:space="0"/>
              <w:left w:val="single" w:color="auto" w:sz="4" w:space="0"/>
              <w:bottom w:val="single" w:color="auto" w:sz="4" w:space="0"/>
              <w:right w:val="single" w:color="auto" w:sz="4" w:space="0"/>
            </w:tcBorders>
            <w:vAlign w:val="center"/>
          </w:tcPr>
          <w:p w14:paraId="3D4B4BBF">
            <w:pPr>
              <w:spacing w:after="60"/>
              <w:jc w:val="left"/>
              <w:rPr>
                <w:rFonts w:hint="eastAsia" w:asciiTheme="minorEastAsia" w:hAnsiTheme="minorEastAsia" w:eastAsiaTheme="minorEastAsia"/>
                <w:szCs w:val="21"/>
                <w:lang w:eastAsia="zh-CN"/>
              </w:rPr>
            </w:pPr>
            <w:r>
              <w:rPr>
                <w:rFonts w:hint="eastAsia" w:asciiTheme="minorEastAsia" w:hAnsiTheme="minorEastAsia" w:eastAsiaTheme="minorEastAsia"/>
                <w:bCs/>
                <w:szCs w:val="21"/>
                <w:lang w:eastAsia="zh-CN"/>
              </w:rPr>
              <w:t>深圳市科技创新战略研究中心（深圳虚拟大学园管理服务中心）</w:t>
            </w:r>
          </w:p>
        </w:tc>
      </w:tr>
    </w:tbl>
    <w:p w14:paraId="16D508D1">
      <w:pPr>
        <w:pStyle w:val="25"/>
        <w:tabs>
          <w:tab w:val="left" w:pos="540"/>
        </w:tabs>
        <w:adjustRightInd w:val="0"/>
        <w:snapToGrid w:val="0"/>
        <w:spacing w:line="360" w:lineRule="auto"/>
        <w:rPr>
          <w:rFonts w:asciiTheme="minorEastAsia" w:hAnsiTheme="minorEastAsia" w:eastAsiaTheme="minorEastAsia"/>
          <w:b/>
        </w:rPr>
      </w:pPr>
    </w:p>
    <w:p w14:paraId="0122E883">
      <w:pPr>
        <w:pStyle w:val="25"/>
        <w:numPr>
          <w:ilvl w:val="0"/>
          <w:numId w:val="25"/>
        </w:numPr>
        <w:tabs>
          <w:tab w:val="left" w:pos="540"/>
        </w:tabs>
        <w:adjustRightInd w:val="0"/>
        <w:snapToGrid w:val="0"/>
        <w:spacing w:line="360" w:lineRule="auto"/>
        <w:ind w:firstLine="422" w:firstLineChars="200"/>
        <w:rPr>
          <w:rFonts w:asciiTheme="minorEastAsia" w:hAnsiTheme="minorEastAsia" w:eastAsiaTheme="minorEastAsia"/>
          <w:b/>
        </w:rPr>
      </w:pPr>
      <w:r>
        <w:rPr>
          <w:rFonts w:hint="eastAsia" w:asciiTheme="minorEastAsia" w:hAnsiTheme="minorEastAsia" w:eastAsiaTheme="minorEastAsia"/>
          <w:b/>
        </w:rPr>
        <w:t>项目概况</w:t>
      </w:r>
    </w:p>
    <w:p w14:paraId="46E5664E">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为保障政府采购项目的高效开展，</w:t>
      </w:r>
      <w:r>
        <w:rPr>
          <w:rFonts w:hint="eastAsia" w:cs="宋体" w:asciiTheme="minorEastAsia" w:hAnsiTheme="minorEastAsia" w:eastAsiaTheme="minorEastAsia"/>
          <w:b/>
          <w:kern w:val="0"/>
          <w:szCs w:val="28"/>
          <w:lang w:eastAsia="zh-CN"/>
        </w:rPr>
        <w:t>深圳市科技创新战略研究中心（深圳虚拟大学园管理服务中心）</w:t>
      </w:r>
      <w:r>
        <w:rPr>
          <w:rFonts w:hint="eastAsia" w:asciiTheme="minorEastAsia" w:hAnsiTheme="minorEastAsia" w:eastAsiaTheme="minorEastAsia"/>
          <w:szCs w:val="21"/>
        </w:rPr>
        <w:t>拟以公开招标的方式确定</w:t>
      </w:r>
      <w:r>
        <w:rPr>
          <w:rFonts w:hint="eastAsia" w:asciiTheme="minorEastAsia" w:hAnsiTheme="minorEastAsia" w:eastAsiaTheme="minorEastAsia"/>
          <w:b w:val="0"/>
          <w:bCs w:val="0"/>
          <w:szCs w:val="21"/>
          <w:lang w:eastAsia="zh-CN"/>
        </w:rPr>
        <w:t>社会</w:t>
      </w:r>
      <w:r>
        <w:rPr>
          <w:rFonts w:hint="eastAsia" w:cs="宋体" w:asciiTheme="minorEastAsia" w:hAnsiTheme="minorEastAsia" w:eastAsiaTheme="minorEastAsia"/>
          <w:b w:val="0"/>
          <w:bCs w:val="0"/>
          <w:kern w:val="0"/>
          <w:szCs w:val="28"/>
        </w:rPr>
        <w:t>采购代理机构</w:t>
      </w:r>
      <w:r>
        <w:rPr>
          <w:rFonts w:hint="eastAsia" w:cs="宋体" w:asciiTheme="minorEastAsia" w:hAnsiTheme="minorEastAsia" w:eastAsiaTheme="minorEastAsia"/>
          <w:b/>
          <w:kern w:val="0"/>
          <w:szCs w:val="28"/>
        </w:rPr>
        <w:t>。</w:t>
      </w:r>
    </w:p>
    <w:p w14:paraId="43D655F2">
      <w:pPr>
        <w:numPr>
          <w:ilvl w:val="0"/>
          <w:numId w:val="25"/>
        </w:numPr>
        <w:autoSpaceDE w:val="0"/>
        <w:autoSpaceDN w:val="0"/>
        <w:adjustRightInd w:val="0"/>
        <w:spacing w:line="360" w:lineRule="auto"/>
        <w:ind w:firstLine="422" w:firstLineChars="200"/>
        <w:jc w:val="left"/>
        <w:rPr>
          <w:rFonts w:asciiTheme="minorEastAsia" w:hAnsiTheme="minorEastAsia" w:eastAsiaTheme="minorEastAsia"/>
          <w:b/>
          <w:szCs w:val="20"/>
        </w:rPr>
      </w:pPr>
      <w:r>
        <w:rPr>
          <w:rFonts w:hint="eastAsia" w:asciiTheme="minorEastAsia" w:hAnsiTheme="minorEastAsia" w:eastAsiaTheme="minorEastAsia"/>
          <w:b/>
          <w:szCs w:val="20"/>
        </w:rPr>
        <w:t>服务内容</w:t>
      </w:r>
    </w:p>
    <w:p w14:paraId="63F188E2">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（一）核查采购需求（需求书内容由采购单位提供）。</w:t>
      </w:r>
    </w:p>
    <w:p w14:paraId="2E0C5A94">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（二）编制招标文件（根据经审批同意的采购需求进行编制）。</w:t>
      </w:r>
    </w:p>
    <w:p w14:paraId="63EC2A36">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（三）发布招标公告和发售招标文件。</w:t>
      </w:r>
    </w:p>
    <w:p w14:paraId="7C17825F">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（四）接受潜在供应商对招标文件条款提出的询问或质疑并予以澄清、回复。</w:t>
      </w:r>
    </w:p>
    <w:p w14:paraId="7B9A51D8">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（五）提供符合条件的评标专家库供抽签使用。</w:t>
      </w:r>
    </w:p>
    <w:p w14:paraId="3A739926">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（六）组织开标、评标和定标，提供技术支持和物资保障。</w:t>
      </w:r>
    </w:p>
    <w:p w14:paraId="7CAEF534">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（七）编制评审报告。</w:t>
      </w:r>
    </w:p>
    <w:p w14:paraId="5FB68CB3">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（八）发布中标结果公示。</w:t>
      </w:r>
    </w:p>
    <w:p w14:paraId="7313490B">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（九）配合采购人处理供应商的投诉和质疑。</w:t>
      </w:r>
    </w:p>
    <w:p w14:paraId="539CD4DC">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（十）发放中标/成交通知书。</w:t>
      </w:r>
    </w:p>
    <w:p w14:paraId="090CA566">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（十一）按国家及深圳市的档案管理要求保存项目档案（采购文件的保存期限为从采购结束之日起至少十五年，档案应当符合《中华人民共和国档案法》《中华人民共和国电子签名法》等法律法规的要求）。</w:t>
      </w:r>
    </w:p>
    <w:p w14:paraId="2164936E">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（十二）接受投标，审查投标商资格。</w:t>
      </w:r>
    </w:p>
    <w:p w14:paraId="3A39FF1C">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（十三）其他依照法律法规等规定和合同等应由代理机构负责的事项。</w:t>
      </w:r>
    </w:p>
    <w:p w14:paraId="375D8FDE">
      <w:pPr>
        <w:adjustRightInd w:val="0"/>
        <w:snapToGrid w:val="0"/>
        <w:spacing w:line="40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四、服务要求</w:t>
      </w:r>
    </w:p>
    <w:p w14:paraId="3C4AD537">
      <w:pPr>
        <w:adjustRightInd w:val="0"/>
        <w:snapToGrid w:val="0"/>
        <w:spacing w:line="400" w:lineRule="exact"/>
        <w:ind w:firstLine="420" w:firstLineChars="200"/>
        <w:rPr>
          <w:rFonts w:cs="宋体" w:asciiTheme="minorEastAsia" w:hAnsiTheme="minorEastAsia" w:eastAsiaTheme="minorEastAsia"/>
          <w:kern w:val="0"/>
          <w:szCs w:val="21"/>
        </w:rPr>
      </w:pPr>
      <w:r>
        <w:rPr>
          <w:rFonts w:hint="eastAsia" w:asciiTheme="minorEastAsia" w:hAnsiTheme="minorEastAsia" w:eastAsiaTheme="minorEastAsia"/>
          <w:szCs w:val="21"/>
        </w:rPr>
        <w:t>（一）中标供应商须与</w:t>
      </w:r>
      <w:r>
        <w:rPr>
          <w:rFonts w:hint="eastAsia" w:asciiTheme="minorEastAsia" w:hAnsiTheme="minorEastAsia" w:eastAsiaTheme="minorEastAsia"/>
          <w:szCs w:val="21"/>
          <w:lang w:eastAsia="zh-CN"/>
        </w:rPr>
        <w:t>深圳市科技创新战略研究中心（深圳虚拟大学园管理服务中心）</w:t>
      </w:r>
      <w:r>
        <w:rPr>
          <w:rFonts w:hint="eastAsia" w:asciiTheme="minorEastAsia" w:hAnsiTheme="minorEastAsia" w:eastAsiaTheme="minorEastAsia"/>
          <w:szCs w:val="21"/>
        </w:rPr>
        <w:t>签订</w:t>
      </w:r>
      <w:r>
        <w:rPr>
          <w:rFonts w:hint="eastAsia" w:cs="宋体" w:asciiTheme="minorEastAsia" w:hAnsiTheme="minorEastAsia" w:eastAsiaTheme="minorEastAsia"/>
          <w:kern w:val="0"/>
          <w:szCs w:val="21"/>
        </w:rPr>
        <w:t>年度采购招标代理委托协议。</w:t>
      </w:r>
    </w:p>
    <w:p w14:paraId="6CADE184">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w:t>
      </w:r>
      <w:r>
        <w:rPr>
          <w:rFonts w:hint="eastAsia" w:cs="宋体" w:asciiTheme="minorEastAsia" w:hAnsiTheme="minorEastAsia" w:eastAsiaTheme="minorEastAsia"/>
          <w:b/>
          <w:bCs/>
          <w:kern w:val="0"/>
          <w:szCs w:val="21"/>
          <w:lang w:eastAsia="zh-CN"/>
        </w:rPr>
        <w:t>中标的</w:t>
      </w:r>
      <w:r>
        <w:rPr>
          <w:rFonts w:hint="eastAsia" w:cs="宋体" w:asciiTheme="minorEastAsia" w:hAnsiTheme="minorEastAsia" w:eastAsiaTheme="minorEastAsia"/>
          <w:b/>
          <w:bCs/>
          <w:kern w:val="0"/>
          <w:szCs w:val="21"/>
          <w:lang w:val="en-US" w:eastAsia="zh-CN"/>
        </w:rPr>
        <w:t>3家</w:t>
      </w:r>
      <w:r>
        <w:rPr>
          <w:rFonts w:hint="eastAsia" w:cs="宋体" w:asciiTheme="minorEastAsia" w:hAnsiTheme="minorEastAsia" w:eastAsiaTheme="minorEastAsia"/>
          <w:b/>
          <w:bCs/>
          <w:kern w:val="0"/>
          <w:szCs w:val="21"/>
          <w:lang w:eastAsia="zh-CN"/>
        </w:rPr>
        <w:t>代理机构，按照分数高低排序纳入中心备选采购代理机构清单，需委托具体项目时，中心将按照项目先后顺序，轮流滚动指定备选采购代理机构进行委托（如有特殊情况需进行动态调整的除外）</w:t>
      </w:r>
      <w:r>
        <w:rPr>
          <w:rFonts w:hint="eastAsia" w:cs="宋体" w:asciiTheme="minorEastAsia" w:hAnsiTheme="minorEastAsia" w:eastAsiaTheme="minorEastAsia"/>
          <w:b/>
          <w:bCs/>
          <w:kern w:val="0"/>
          <w:szCs w:val="21"/>
        </w:rPr>
        <w:t>。</w:t>
      </w:r>
    </w:p>
    <w:p w14:paraId="72EB8643">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（三）</w:t>
      </w:r>
      <w:r>
        <w:rPr>
          <w:rFonts w:hint="eastAsia" w:cs="宋体" w:asciiTheme="minorEastAsia" w:hAnsiTheme="minorEastAsia" w:eastAsiaTheme="minorEastAsia"/>
          <w:kern w:val="0"/>
          <w:szCs w:val="21"/>
        </w:rPr>
        <w:t>年度采购招标代理委托协议</w:t>
      </w:r>
      <w:r>
        <w:rPr>
          <w:rFonts w:hint="eastAsia" w:asciiTheme="minorEastAsia" w:hAnsiTheme="minorEastAsia" w:eastAsiaTheme="minorEastAsia"/>
          <w:szCs w:val="21"/>
          <w:lang w:eastAsia="zh-CN"/>
        </w:rPr>
        <w:t>需</w:t>
      </w:r>
      <w:r>
        <w:rPr>
          <w:rFonts w:asciiTheme="minorEastAsia" w:hAnsiTheme="minorEastAsia" w:eastAsiaTheme="minorEastAsia"/>
          <w:szCs w:val="21"/>
        </w:rPr>
        <w:t>明确采购代理范围、权限、期限、档案保存、代理费用收取方式及标准，协议解除及终止、违约责任等具体事项，约定双方权利义务</w:t>
      </w:r>
      <w:r>
        <w:rPr>
          <w:rFonts w:hint="eastAsia" w:asciiTheme="minorEastAsia" w:hAnsiTheme="minorEastAsia" w:eastAsiaTheme="minorEastAsia"/>
          <w:szCs w:val="21"/>
        </w:rPr>
        <w:t>。</w:t>
      </w:r>
    </w:p>
    <w:p w14:paraId="16031C7F">
      <w:pPr>
        <w:adjustRightInd w:val="0"/>
        <w:snapToGrid w:val="0"/>
        <w:spacing w:line="400" w:lineRule="exact"/>
        <w:ind w:firstLine="420" w:firstLineChars="200"/>
        <w:rPr>
          <w:rFonts w:ascii="宋体" w:hAnsi="宋体"/>
          <w:szCs w:val="21"/>
        </w:rPr>
      </w:pPr>
      <w:r>
        <w:rPr>
          <w:rFonts w:hint="eastAsia" w:asciiTheme="minorEastAsia" w:hAnsiTheme="minorEastAsia" w:eastAsiaTheme="minorEastAsia"/>
          <w:szCs w:val="21"/>
        </w:rPr>
        <w:t>（四）</w:t>
      </w:r>
      <w:r>
        <w:rPr>
          <w:rFonts w:hint="eastAsia" w:ascii="宋体" w:hAnsi="宋体"/>
          <w:szCs w:val="21"/>
        </w:rPr>
        <w:t>代理服务费收费要求：</w:t>
      </w:r>
    </w:p>
    <w:p w14:paraId="1606CF82">
      <w:pPr>
        <w:adjustRightInd w:val="0"/>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招标代理机构向中标人收取招标代理服务费，以采购项目中标金额为基准，按照差额累进法计算代理服务费，计费依据为：投标人所报折扣率（%）及最低收费标准、</w:t>
      </w:r>
      <w:r>
        <w:rPr>
          <w:rFonts w:hint="default"/>
          <w:lang w:val="en-US" w:eastAsia="zh-CN"/>
        </w:rPr>
        <w:t>《深圳市财政委员会关于规范深圳市社会采购代理机构管理有关事项的补充通知》（深财购〔2018〕27号）</w:t>
      </w:r>
      <w:r>
        <w:rPr>
          <w:rFonts w:hint="eastAsia" w:asciiTheme="minorEastAsia" w:hAnsiTheme="minorEastAsia" w:eastAsiaTheme="minorEastAsia"/>
          <w:szCs w:val="21"/>
          <w:lang w:val="en-US" w:eastAsia="zh-CN"/>
        </w:rPr>
        <w:t>。</w:t>
      </w:r>
    </w:p>
    <w:p w14:paraId="3F441E20">
      <w:pPr>
        <w:pStyle w:val="47"/>
        <w:numPr>
          <w:ilvl w:val="0"/>
          <w:numId w:val="0"/>
        </w:numPr>
        <w:ind w:left="840"/>
      </w:pPr>
    </w:p>
    <w:p w14:paraId="25920187">
      <w:pPr>
        <w:spacing w:line="360" w:lineRule="auto"/>
        <w:ind w:left="422"/>
        <w:rPr>
          <w:rFonts w:asciiTheme="minorEastAsia" w:hAnsiTheme="minorEastAsia" w:eastAsiaTheme="minorEastAsia"/>
          <w:b/>
          <w:kern w:val="0"/>
          <w:szCs w:val="21"/>
        </w:rPr>
      </w:pPr>
      <w:r>
        <w:rPr>
          <w:rFonts w:hint="eastAsia" w:asciiTheme="minorEastAsia" w:hAnsiTheme="minorEastAsia" w:eastAsiaTheme="minorEastAsia"/>
          <w:b/>
          <w:kern w:val="0"/>
          <w:szCs w:val="21"/>
        </w:rPr>
        <w:t>五、商务要求</w:t>
      </w:r>
    </w:p>
    <w:p w14:paraId="380D9C19">
      <w:pPr>
        <w:adjustRightInd w:val="0"/>
        <w:spacing w:line="360" w:lineRule="auto"/>
        <w:ind w:firstLine="420" w:firstLineChars="200"/>
        <w:rPr>
          <w:rFonts w:hint="eastAsia" w:asciiTheme="minorEastAsia" w:hAnsiTheme="minorEastAsia" w:eastAsiaTheme="minorEastAsia" w:cstheme="minorBidi"/>
          <w:szCs w:val="21"/>
        </w:rPr>
      </w:pPr>
      <w:r>
        <w:rPr>
          <w:rFonts w:hint="eastAsia" w:ascii="宋体" w:hAnsi="宋体"/>
          <w:snapToGrid w:val="0"/>
          <w:kern w:val="0"/>
          <w:lang w:val="en-US" w:eastAsia="zh-CN"/>
        </w:rPr>
        <w:t>（一）</w:t>
      </w:r>
      <w:r>
        <w:rPr>
          <w:rFonts w:hint="eastAsia" w:ascii="宋体" w:hAnsi="宋体"/>
          <w:snapToGrid w:val="0"/>
          <w:kern w:val="0"/>
          <w:lang w:eastAsia="zh-CN"/>
        </w:rPr>
        <w:t>报价要求</w:t>
      </w:r>
      <w:r>
        <w:rPr>
          <w:rFonts w:hint="eastAsia"/>
          <w:lang w:eastAsia="zh-CN"/>
        </w:rPr>
        <w:t>：</w:t>
      </w:r>
      <w:r>
        <w:rPr>
          <w:rFonts w:hint="eastAsia" w:ascii="宋体" w:hAnsi="宋体"/>
          <w:snapToGrid w:val="0"/>
          <w:kern w:val="0"/>
          <w:lang w:val="en-US" w:eastAsia="zh-CN"/>
        </w:rPr>
        <w:t>本项目为资格招标。开标一览表须填写“折扣率（%）及最低收费标准”。注：折扣率（%）按照</w:t>
      </w:r>
      <w:r>
        <w:rPr>
          <w:rFonts w:hint="default"/>
          <w:lang w:val="en-US" w:eastAsia="zh-CN"/>
        </w:rPr>
        <w:t>《深圳市财政委员会关于规范深圳市社会采购代理机构管理有关事项的补充通知》（深财购〔2018〕27号）</w:t>
      </w:r>
      <w:r>
        <w:rPr>
          <w:rFonts w:hint="eastAsia" w:ascii="宋体" w:hAnsi="宋体"/>
          <w:snapToGrid w:val="0"/>
          <w:kern w:val="0"/>
          <w:lang w:val="en-US" w:eastAsia="zh-CN"/>
        </w:rPr>
        <w:t>招标代理服务费标准报折扣率。</w:t>
      </w:r>
    </w:p>
    <w:p w14:paraId="02858755">
      <w:pPr>
        <w:spacing w:line="360" w:lineRule="auto"/>
        <w:ind w:firstLine="420" w:firstLineChars="200"/>
        <w:rPr>
          <w:rFonts w:asciiTheme="minorEastAsia" w:hAnsiTheme="minorEastAsia" w:eastAsiaTheme="minorEastAsia" w:cstheme="minorBidi"/>
          <w:szCs w:val="21"/>
        </w:rPr>
      </w:pPr>
      <w:r>
        <w:rPr>
          <w:rFonts w:hint="eastAsia" w:asciiTheme="minorEastAsia" w:hAnsiTheme="minorEastAsia" w:eastAsiaTheme="minorEastAsia" w:cstheme="minorBidi"/>
          <w:szCs w:val="21"/>
          <w:lang w:eastAsia="zh-CN"/>
        </w:rPr>
        <w:t>（</w:t>
      </w:r>
      <w:r>
        <w:rPr>
          <w:rFonts w:hint="eastAsia" w:asciiTheme="minorEastAsia" w:hAnsiTheme="minorEastAsia" w:eastAsiaTheme="minorEastAsia" w:cstheme="minorBidi"/>
          <w:szCs w:val="21"/>
          <w:lang w:val="en-US" w:eastAsia="zh-CN"/>
        </w:rPr>
        <w:t>二</w:t>
      </w:r>
      <w:r>
        <w:rPr>
          <w:rFonts w:hint="eastAsia" w:asciiTheme="minorEastAsia" w:hAnsiTheme="minorEastAsia" w:eastAsiaTheme="minorEastAsia" w:cstheme="minorBidi"/>
          <w:szCs w:val="21"/>
          <w:lang w:eastAsia="zh-CN"/>
        </w:rPr>
        <w:t>）</w:t>
      </w:r>
      <w:r>
        <w:rPr>
          <w:rFonts w:hint="eastAsia" w:asciiTheme="minorEastAsia" w:hAnsiTheme="minorEastAsia" w:eastAsiaTheme="minorEastAsia" w:cstheme="minorBidi"/>
          <w:szCs w:val="21"/>
        </w:rPr>
        <w:t>服务期：本项目服务期限为自合同签订之日起一年。本项目为长期服务类项目，第一年为本次招标的中标服务期限，采购单位可根据项目需要和中标供应商的履约情况确定合同期限是否续签，但最长不超过三十六个月。若政府采购主管部门发现项目有异常情况，以主管部门意见为准。</w:t>
      </w:r>
    </w:p>
    <w:p w14:paraId="5A920265">
      <w:pPr>
        <w:spacing w:line="360" w:lineRule="auto"/>
        <w:ind w:firstLine="420" w:firstLineChars="20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w:t>
      </w:r>
      <w:r>
        <w:rPr>
          <w:rFonts w:hint="eastAsia" w:asciiTheme="minorEastAsia" w:hAnsiTheme="minorEastAsia" w:eastAsiaTheme="minorEastAsia" w:cstheme="minorBidi"/>
          <w:szCs w:val="21"/>
          <w:lang w:val="en-US" w:eastAsia="zh-CN"/>
        </w:rPr>
        <w:t>三</w:t>
      </w:r>
      <w:r>
        <w:rPr>
          <w:rFonts w:hint="eastAsia" w:asciiTheme="minorEastAsia" w:hAnsiTheme="minorEastAsia" w:eastAsiaTheme="minorEastAsia" w:cstheme="minorBidi"/>
          <w:szCs w:val="21"/>
        </w:rPr>
        <w:t>）考核制度：</w:t>
      </w:r>
      <w:r>
        <w:rPr>
          <w:rFonts w:hint="eastAsia" w:asciiTheme="minorEastAsia" w:hAnsiTheme="minorEastAsia" w:eastAsiaTheme="minorEastAsia" w:cstheme="minorBidi"/>
          <w:bCs/>
          <w:szCs w:val="21"/>
        </w:rPr>
        <w:t>在委托代理活动结束后，委托人</w:t>
      </w:r>
      <w:r>
        <w:rPr>
          <w:rFonts w:hint="eastAsia" w:asciiTheme="minorEastAsia" w:hAnsiTheme="minorEastAsia" w:eastAsiaTheme="minorEastAsia" w:cstheme="minorBidi"/>
          <w:bCs/>
          <w:szCs w:val="21"/>
          <w:lang w:eastAsia="zh-CN"/>
        </w:rPr>
        <w:t>可</w:t>
      </w:r>
      <w:r>
        <w:rPr>
          <w:rFonts w:hint="eastAsia" w:asciiTheme="minorEastAsia" w:hAnsiTheme="minorEastAsia" w:eastAsiaTheme="minorEastAsia" w:cstheme="minorBidi"/>
          <w:bCs/>
          <w:szCs w:val="21"/>
        </w:rPr>
        <w:t>对受托代理机构作出履约评价，并将评价结果报委托人</w:t>
      </w:r>
      <w:r>
        <w:rPr>
          <w:rFonts w:hint="eastAsia" w:asciiTheme="minorEastAsia" w:hAnsiTheme="minorEastAsia" w:eastAsiaTheme="minorEastAsia"/>
          <w:szCs w:val="21"/>
        </w:rPr>
        <w:t>备档</w:t>
      </w:r>
      <w:r>
        <w:rPr>
          <w:rFonts w:hint="eastAsia" w:asciiTheme="minorEastAsia" w:hAnsiTheme="minorEastAsia" w:eastAsiaTheme="minorEastAsia" w:cstheme="minorBidi"/>
          <w:bCs/>
          <w:szCs w:val="21"/>
        </w:rPr>
        <w:t>，履约评价结果将作为代理机构入选、评判、清退的重要评判依据。</w:t>
      </w:r>
      <w:r>
        <w:rPr>
          <w:rFonts w:asciiTheme="minorEastAsia" w:hAnsiTheme="minorEastAsia" w:eastAsiaTheme="minorEastAsia" w:cstheme="minorBidi"/>
          <w:szCs w:val="21"/>
        </w:rPr>
        <w:t>代理机构有下列情形之一的，取消其代理机构资格：</w:t>
      </w:r>
    </w:p>
    <w:p w14:paraId="7AD72447">
      <w:pPr>
        <w:spacing w:line="360" w:lineRule="auto"/>
        <w:ind w:firstLine="420" w:firstLineChars="20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1.</w:t>
      </w:r>
      <w:r>
        <w:rPr>
          <w:rFonts w:asciiTheme="minorEastAsia" w:hAnsiTheme="minorEastAsia" w:eastAsiaTheme="minorEastAsia" w:cstheme="minorBidi"/>
          <w:szCs w:val="21"/>
        </w:rPr>
        <w:t>无正当理由放弃招标代理业务的；</w:t>
      </w:r>
    </w:p>
    <w:p w14:paraId="409DCFA1">
      <w:pPr>
        <w:spacing w:line="360" w:lineRule="auto"/>
        <w:ind w:firstLine="420" w:firstLineChars="20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2.</w:t>
      </w:r>
      <w:r>
        <w:rPr>
          <w:rFonts w:asciiTheme="minorEastAsia" w:hAnsiTheme="minorEastAsia" w:eastAsiaTheme="minorEastAsia" w:cstheme="minorBidi"/>
          <w:szCs w:val="21"/>
        </w:rPr>
        <w:t>泄露应当保密的与招标活动有关的情况和资料的，或者与投标人串通损害国家利益、社会公共利益或他人合法利益情节严重的，或发生其他违法违规行为的；</w:t>
      </w:r>
    </w:p>
    <w:p w14:paraId="7CE0B368">
      <w:pPr>
        <w:spacing w:line="360" w:lineRule="auto"/>
        <w:ind w:firstLine="420" w:firstLineChars="20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3.</w:t>
      </w:r>
      <w:r>
        <w:rPr>
          <w:rFonts w:asciiTheme="minorEastAsia" w:hAnsiTheme="minorEastAsia" w:eastAsiaTheme="minorEastAsia" w:cstheme="minorBidi"/>
          <w:szCs w:val="21"/>
        </w:rPr>
        <w:t>招标代理过程出现重大失误，情形严重的，如因代理机构原因造成项目流标或其他导致重新采购的情形；</w:t>
      </w:r>
    </w:p>
    <w:p w14:paraId="09DC1268">
      <w:pPr>
        <w:spacing w:line="360" w:lineRule="auto"/>
        <w:ind w:firstLine="420" w:firstLineChars="200"/>
        <w:rPr>
          <w:rFonts w:asciiTheme="minorEastAsia" w:hAnsiTheme="minorEastAsia" w:eastAsiaTheme="minorEastAsia" w:cstheme="minorBidi"/>
          <w:szCs w:val="21"/>
        </w:rPr>
      </w:pPr>
      <w:r>
        <w:rPr>
          <w:rFonts w:hint="eastAsia" w:asciiTheme="minorEastAsia" w:hAnsiTheme="minorEastAsia" w:eastAsiaTheme="minorEastAsia" w:cstheme="minorBidi"/>
          <w:szCs w:val="21"/>
        </w:rPr>
        <w:t>4.</w:t>
      </w:r>
      <w:r>
        <w:rPr>
          <w:rFonts w:asciiTheme="minorEastAsia" w:hAnsiTheme="minorEastAsia" w:eastAsiaTheme="minorEastAsia" w:cstheme="minorBidi"/>
          <w:szCs w:val="21"/>
        </w:rPr>
        <w:t>代理机构履约评价一年内累计评价不合格达</w:t>
      </w:r>
      <w:r>
        <w:rPr>
          <w:rFonts w:hint="eastAsia" w:asciiTheme="minorEastAsia" w:hAnsiTheme="minorEastAsia" w:eastAsiaTheme="minorEastAsia" w:cstheme="minorBidi"/>
          <w:szCs w:val="21"/>
        </w:rPr>
        <w:t>3次的</w:t>
      </w:r>
      <w:r>
        <w:rPr>
          <w:rFonts w:asciiTheme="minorEastAsia" w:hAnsiTheme="minorEastAsia" w:eastAsiaTheme="minorEastAsia" w:cstheme="minorBidi"/>
          <w:szCs w:val="21"/>
        </w:rPr>
        <w:t xml:space="preserve">； </w:t>
      </w:r>
    </w:p>
    <w:p w14:paraId="5FADB69F">
      <w:pPr>
        <w:spacing w:line="360" w:lineRule="auto"/>
        <w:ind w:firstLine="420" w:firstLineChars="200"/>
      </w:pPr>
      <w:r>
        <w:rPr>
          <w:rFonts w:hint="eastAsia" w:asciiTheme="minorEastAsia" w:hAnsiTheme="minorEastAsia" w:eastAsiaTheme="minorEastAsia" w:cstheme="minorBidi"/>
          <w:szCs w:val="21"/>
        </w:rPr>
        <w:t>5.</w:t>
      </w:r>
      <w:r>
        <w:rPr>
          <w:rFonts w:hint="eastAsia" w:asciiTheme="minorEastAsia" w:hAnsiTheme="minorEastAsia" w:eastAsiaTheme="minorEastAsia" w:cstheme="minorBidi"/>
          <w:bCs/>
          <w:szCs w:val="21"/>
        </w:rPr>
        <w:t xml:space="preserve"> </w:t>
      </w:r>
      <w:r>
        <w:rPr>
          <w:rFonts w:hint="eastAsia" w:asciiTheme="minorEastAsia" w:hAnsiTheme="minorEastAsia" w:eastAsiaTheme="minorEastAsia" w:cstheme="minorBidi"/>
          <w:bCs/>
          <w:szCs w:val="21"/>
          <w:lang w:eastAsia="zh-CN"/>
        </w:rPr>
        <w:t>代理机构在履约过程中失去相应代理资质或其他履约能力、因故被行业主管部门处罚或企业处于异常状态的；</w:t>
      </w:r>
    </w:p>
    <w:p w14:paraId="4E57B287">
      <w:pPr>
        <w:spacing w:line="360" w:lineRule="auto"/>
        <w:ind w:firstLine="420" w:firstLineChars="200"/>
        <w:rPr>
          <w:rFonts w:asciiTheme="minorEastAsia" w:hAnsiTheme="minorEastAsia" w:eastAsiaTheme="minorEastAsia" w:cstheme="minorBidi"/>
          <w:szCs w:val="21"/>
        </w:rPr>
      </w:pPr>
      <w:r>
        <w:rPr>
          <w:rFonts w:hint="eastAsia" w:asciiTheme="minorEastAsia" w:hAnsiTheme="minorEastAsia" w:eastAsiaTheme="minorEastAsia" w:cstheme="minorBidi"/>
          <w:szCs w:val="21"/>
          <w:lang w:val="en-US" w:eastAsia="zh-CN"/>
        </w:rPr>
        <w:t>6</w:t>
      </w:r>
      <w:r>
        <w:rPr>
          <w:rFonts w:hint="eastAsia" w:asciiTheme="minorEastAsia" w:hAnsiTheme="minorEastAsia" w:eastAsiaTheme="minorEastAsia" w:cstheme="minorBidi"/>
          <w:szCs w:val="21"/>
        </w:rPr>
        <w:t>.</w:t>
      </w:r>
      <w:r>
        <w:rPr>
          <w:rFonts w:hint="eastAsia" w:asciiTheme="minorEastAsia" w:hAnsiTheme="minorEastAsia" w:eastAsiaTheme="minorEastAsia" w:cstheme="minorBidi"/>
          <w:bCs/>
          <w:szCs w:val="21"/>
        </w:rPr>
        <w:t xml:space="preserve"> 委托人</w:t>
      </w:r>
      <w:r>
        <w:rPr>
          <w:rFonts w:asciiTheme="minorEastAsia" w:hAnsiTheme="minorEastAsia" w:eastAsiaTheme="minorEastAsia" w:cstheme="minorBidi"/>
          <w:szCs w:val="21"/>
        </w:rPr>
        <w:t>认为代理机构存在其他违规行为的。</w:t>
      </w:r>
    </w:p>
    <w:p w14:paraId="68A7FEB8">
      <w:pPr>
        <w:widowControl/>
        <w:jc w:val="left"/>
        <w:rPr>
          <w:rFonts w:asciiTheme="minorEastAsia" w:hAnsiTheme="minorEastAsia" w:eastAsiaTheme="minorEastAsia"/>
          <w:b/>
          <w:bCs/>
          <w:szCs w:val="21"/>
        </w:rPr>
      </w:pPr>
      <w:bookmarkStart w:id="212" w:name="_Toc480447818"/>
    </w:p>
    <w:p w14:paraId="4D5925DD">
      <w:pPr>
        <w:spacing w:line="360" w:lineRule="auto"/>
        <w:jc w:val="both"/>
        <w:rPr>
          <w:rFonts w:asciiTheme="minorEastAsia" w:hAnsiTheme="minorEastAsia" w:eastAsiaTheme="minorEastAsia"/>
          <w:szCs w:val="21"/>
        </w:rPr>
      </w:pPr>
    </w:p>
    <w:p w14:paraId="4BDA6789">
      <w:pPr>
        <w:pStyle w:val="3"/>
        <w:spacing w:line="360" w:lineRule="auto"/>
        <w:jc w:val="center"/>
        <w:rPr>
          <w:rFonts w:asciiTheme="minorEastAsia" w:hAnsiTheme="minorEastAsia" w:eastAsiaTheme="minorEastAsia"/>
          <w:szCs w:val="21"/>
        </w:rPr>
      </w:pPr>
      <w:bookmarkStart w:id="213" w:name="_Toc1827005994"/>
      <w:r>
        <w:rPr>
          <w:rFonts w:hint="eastAsia" w:asciiTheme="minorEastAsia" w:hAnsiTheme="minorEastAsia" w:eastAsiaTheme="minorEastAsia"/>
          <w:szCs w:val="21"/>
        </w:rPr>
        <w:t>第四章  相关格式</w:t>
      </w:r>
      <w:bookmarkEnd w:id="212"/>
      <w:bookmarkEnd w:id="213"/>
    </w:p>
    <w:p w14:paraId="1EAF268B">
      <w:pPr>
        <w:spacing w:line="360" w:lineRule="auto"/>
        <w:jc w:val="center"/>
        <w:outlineLvl w:val="1"/>
        <w:rPr>
          <w:rFonts w:asciiTheme="minorEastAsia" w:hAnsiTheme="minorEastAsia" w:eastAsiaTheme="minorEastAsia"/>
          <w:b/>
          <w:bCs/>
          <w:szCs w:val="21"/>
        </w:rPr>
      </w:pPr>
      <w:bookmarkStart w:id="214" w:name="_Toc1708142142"/>
      <w:r>
        <w:rPr>
          <w:rFonts w:hint="eastAsia" w:asciiTheme="minorEastAsia" w:hAnsiTheme="minorEastAsia" w:eastAsiaTheme="minorEastAsia"/>
          <w:b/>
          <w:bCs/>
          <w:szCs w:val="21"/>
        </w:rPr>
        <w:t>一、合同条款及格式</w:t>
      </w:r>
      <w:bookmarkEnd w:id="214"/>
      <w:bookmarkStart w:id="215" w:name="合同协议书"/>
    </w:p>
    <w:p w14:paraId="4B8B7EC3">
      <w:pPr>
        <w:jc w:val="center"/>
      </w:pPr>
      <w:r>
        <w:rPr>
          <w:rFonts w:hint="eastAsia" w:asciiTheme="minorEastAsia" w:hAnsiTheme="minorEastAsia" w:eastAsiaTheme="minorEastAsia"/>
          <w:szCs w:val="21"/>
        </w:rPr>
        <w:t>（仅供参考）</w:t>
      </w:r>
    </w:p>
    <w:p w14:paraId="3A8131A1">
      <w:pPr>
        <w:rPr>
          <w:sz w:val="24"/>
        </w:rPr>
      </w:pPr>
      <w:r>
        <w:rPr>
          <w:rFonts w:ascii="仿宋_GB2312" w:eastAsia="仿宋_GB2312"/>
          <w:b/>
          <w:sz w:val="24"/>
        </w:rPr>
        <w:t xml:space="preserve">               </w:t>
      </w:r>
    </w:p>
    <w:p w14:paraId="7459F32E">
      <w:pPr>
        <w:rPr>
          <w:rFonts w:hint="eastAsia" w:hAnsi="宋体"/>
          <w:b/>
          <w:sz w:val="24"/>
        </w:rPr>
      </w:pPr>
      <w:r>
        <w:rPr>
          <w:rFonts w:ascii="仿宋_GB2312" w:eastAsia="仿宋_GB2312"/>
          <w:b/>
          <w:sz w:val="24"/>
        </w:rPr>
        <w:t xml:space="preserve">                                     </w:t>
      </w:r>
      <w:r>
        <w:rPr>
          <w:rFonts w:hAnsi="宋体"/>
          <w:b/>
          <w:sz w:val="24"/>
        </w:rPr>
        <w:t xml:space="preserve"> </w:t>
      </w:r>
      <w:r>
        <w:rPr>
          <w:rFonts w:hint="eastAsia" w:hAnsi="宋体"/>
          <w:b/>
          <w:sz w:val="24"/>
        </w:rPr>
        <w:t xml:space="preserve"> </w:t>
      </w:r>
    </w:p>
    <w:p w14:paraId="6C0A62A2">
      <w:pPr>
        <w:rPr>
          <w:sz w:val="24"/>
        </w:rPr>
      </w:pPr>
    </w:p>
    <w:p w14:paraId="2B43678B">
      <w:pPr>
        <w:adjustRightInd w:val="0"/>
        <w:snapToGrid w:val="0"/>
        <w:jc w:val="center"/>
        <w:rPr>
          <w:rFonts w:ascii="方正小标宋_GBK" w:hAnsi="方正小标宋_GBK" w:eastAsia="方正小标宋_GBK" w:cs="方正小标宋_GBK"/>
          <w:bCs/>
          <w:spacing w:val="-30"/>
          <w:sz w:val="44"/>
          <w:szCs w:val="44"/>
        </w:rPr>
      </w:pPr>
      <w:r>
        <w:rPr>
          <w:rFonts w:hint="eastAsia" w:ascii="方正小标宋_GBK" w:hAnsi="方正小标宋_GBK" w:eastAsia="方正小标宋_GBK" w:cs="方正小标宋_GBK"/>
          <w:bCs/>
          <w:spacing w:val="-30"/>
          <w:sz w:val="44"/>
          <w:szCs w:val="44"/>
          <w:lang w:eastAsia="zh-CN"/>
        </w:rPr>
        <w:t>年度采购</w:t>
      </w:r>
      <w:r>
        <w:rPr>
          <w:rFonts w:hint="eastAsia" w:ascii="方正小标宋_GBK" w:hAnsi="方正小标宋_GBK" w:eastAsia="方正小标宋_GBK" w:cs="方正小标宋_GBK"/>
          <w:bCs/>
          <w:spacing w:val="-30"/>
          <w:sz w:val="44"/>
          <w:szCs w:val="44"/>
        </w:rPr>
        <w:t>招标代理委托协议</w:t>
      </w:r>
    </w:p>
    <w:p w14:paraId="4308D716">
      <w:pPr>
        <w:adjustRightInd w:val="0"/>
        <w:snapToGrid w:val="0"/>
        <w:jc w:val="center"/>
        <w:rPr>
          <w:rFonts w:ascii="黑体" w:hAnsi="宋体" w:eastAsia="黑体"/>
          <w:bCs/>
          <w:spacing w:val="-30"/>
          <w:sz w:val="44"/>
          <w:szCs w:val="44"/>
        </w:rPr>
      </w:pPr>
    </w:p>
    <w:p w14:paraId="20A29703">
      <w:pPr>
        <w:pStyle w:val="2"/>
        <w:rPr>
          <w:rFonts w:ascii="黑体" w:hAnsi="宋体" w:eastAsia="黑体"/>
          <w:bCs/>
          <w:spacing w:val="-30"/>
          <w:sz w:val="44"/>
          <w:szCs w:val="44"/>
        </w:rPr>
      </w:pPr>
    </w:p>
    <w:p w14:paraId="4FCBA50F">
      <w:pPr>
        <w:rPr>
          <w:rFonts w:ascii="黑体" w:hAnsi="宋体" w:eastAsia="黑体"/>
          <w:bCs/>
          <w:spacing w:val="-30"/>
          <w:sz w:val="44"/>
          <w:szCs w:val="44"/>
        </w:rPr>
      </w:pPr>
    </w:p>
    <w:p w14:paraId="0D00E96E">
      <w:pPr>
        <w:pStyle w:val="2"/>
      </w:pPr>
    </w:p>
    <w:p w14:paraId="06150572">
      <w:pPr>
        <w:adjustRightInd w:val="0"/>
        <w:snapToGrid w:val="0"/>
        <w:jc w:val="center"/>
        <w:rPr>
          <w:rFonts w:ascii="黑体" w:hAnsi="宋体" w:eastAsia="黑体"/>
          <w:bCs/>
          <w:spacing w:val="-30"/>
          <w:sz w:val="44"/>
          <w:szCs w:val="44"/>
        </w:rPr>
      </w:pPr>
    </w:p>
    <w:p w14:paraId="509A7619">
      <w:pPr>
        <w:adjustRightInd w:val="0"/>
        <w:snapToGrid w:val="0"/>
        <w:ind w:firstLine="1760" w:firstLineChars="400"/>
        <w:rPr>
          <w:rFonts w:ascii="黑体" w:hAnsi="宋体" w:eastAsia="黑体"/>
          <w:bCs/>
          <w:sz w:val="44"/>
          <w:szCs w:val="44"/>
        </w:rPr>
      </w:pPr>
    </w:p>
    <w:p w14:paraId="7EA648F7">
      <w:pPr>
        <w:adjustRightInd w:val="0"/>
        <w:snapToGrid w:val="0"/>
        <w:rPr>
          <w:rFonts w:ascii="黑体" w:hAnsi="宋体" w:eastAsia="黑体"/>
          <w:bCs/>
          <w:sz w:val="32"/>
          <w:szCs w:val="22"/>
        </w:rPr>
      </w:pPr>
    </w:p>
    <w:p w14:paraId="7FD151FC">
      <w:pPr>
        <w:adjustRightInd w:val="0"/>
        <w:snapToGrid w:val="0"/>
        <w:jc w:val="center"/>
        <w:rPr>
          <w:rFonts w:ascii="Calibri" w:hAnsi="Calibri" w:eastAsia="仿宋_GB2312"/>
          <w:b/>
          <w:bCs/>
          <w:sz w:val="32"/>
          <w:szCs w:val="32"/>
        </w:rPr>
      </w:pPr>
      <w:r>
        <w:rPr>
          <w:rFonts w:hint="eastAsia" w:ascii="Calibri" w:hAnsi="Calibri" w:eastAsia="仿宋_GB2312"/>
          <w:b/>
          <w:bCs/>
          <w:sz w:val="32"/>
          <w:szCs w:val="32"/>
        </w:rPr>
        <w:t>（</w:t>
      </w:r>
      <w:r>
        <w:rPr>
          <w:rFonts w:hint="eastAsia" w:ascii="Calibri" w:hAnsi="Calibri" w:eastAsia="仿宋_GB2312"/>
          <w:b/>
          <w:bCs/>
          <w:sz w:val="32"/>
          <w:szCs w:val="32"/>
          <w:lang w:val="en-US" w:eastAsia="zh-CN"/>
        </w:rPr>
        <w:t>2026-2027</w:t>
      </w:r>
      <w:r>
        <w:rPr>
          <w:rFonts w:hint="eastAsia" w:ascii="Calibri" w:hAnsi="Calibri" w:eastAsia="仿宋_GB2312"/>
          <w:b/>
          <w:bCs/>
          <w:sz w:val="32"/>
          <w:szCs w:val="32"/>
        </w:rPr>
        <w:t>年度）</w:t>
      </w:r>
    </w:p>
    <w:p w14:paraId="47C622AE">
      <w:pPr>
        <w:rPr>
          <w:rFonts w:ascii="Calibri" w:hAnsi="Calibri" w:eastAsia="黑体"/>
          <w:bCs/>
          <w:sz w:val="30"/>
          <w:szCs w:val="30"/>
        </w:rPr>
      </w:pPr>
    </w:p>
    <w:p w14:paraId="13F4FCF9">
      <w:pPr>
        <w:adjustRightInd w:val="0"/>
        <w:snapToGrid w:val="0"/>
        <w:rPr>
          <w:rFonts w:ascii="仿宋_GB2312" w:hAnsi="Calibri" w:eastAsia="仿宋_GB2312"/>
          <w:b/>
          <w:bCs/>
          <w:sz w:val="32"/>
          <w:szCs w:val="32"/>
        </w:rPr>
      </w:pPr>
      <w:r>
        <w:rPr>
          <w:rFonts w:hint="eastAsia" w:ascii="仿宋_GB2312" w:hAnsi="华文中宋" w:eastAsia="仿宋_GB2312"/>
          <w:b/>
          <w:bCs/>
          <w:sz w:val="32"/>
          <w:szCs w:val="32"/>
        </w:rPr>
        <w:t>委托方（甲方）:</w:t>
      </w:r>
      <w:r>
        <w:rPr>
          <w:rFonts w:hint="eastAsia" w:asciiTheme="minorEastAsia" w:hAnsiTheme="minorEastAsia" w:eastAsiaTheme="minorEastAsia"/>
          <w:b/>
          <w:bCs/>
          <w:sz w:val="32"/>
          <w:szCs w:val="32"/>
          <w:u w:val="single"/>
          <w:lang w:eastAsia="zh-CN"/>
        </w:rPr>
        <w:t>深圳市科技创新战略研究中心（深圳虚拟大学园管理服务中心）</w:t>
      </w:r>
      <w:r>
        <w:rPr>
          <w:rFonts w:hint="eastAsia"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lang w:val="en-US" w:eastAsia="zh-CN"/>
        </w:rPr>
        <w:t xml:space="preserve">              </w:t>
      </w:r>
      <w:r>
        <w:rPr>
          <w:rFonts w:hint="eastAsia" w:asciiTheme="minorEastAsia" w:hAnsiTheme="minorEastAsia" w:eastAsiaTheme="minorEastAsia"/>
          <w:b/>
          <w:bCs/>
          <w:sz w:val="32"/>
          <w:szCs w:val="32"/>
          <w:u w:val="single"/>
        </w:rPr>
        <w:t xml:space="preserve">   </w:t>
      </w:r>
      <w:r>
        <w:rPr>
          <w:rFonts w:hint="eastAsia" w:ascii="仿宋_GB2312" w:hAnsi="Calibri" w:eastAsia="仿宋_GB2312"/>
          <w:b/>
          <w:bCs/>
          <w:sz w:val="32"/>
          <w:szCs w:val="32"/>
          <w:u w:val="single"/>
        </w:rPr>
        <w:t xml:space="preserve"> </w:t>
      </w:r>
    </w:p>
    <w:p w14:paraId="3A24FAA8">
      <w:pPr>
        <w:adjustRightInd w:val="0"/>
        <w:snapToGrid w:val="0"/>
        <w:ind w:firstLine="1275" w:firstLineChars="425"/>
        <w:rPr>
          <w:rFonts w:ascii="Calibri" w:hAnsi="Calibri" w:eastAsia="黑体"/>
          <w:bCs/>
          <w:sz w:val="30"/>
          <w:szCs w:val="30"/>
        </w:rPr>
      </w:pPr>
    </w:p>
    <w:p w14:paraId="23A67437">
      <w:pPr>
        <w:adjustRightInd w:val="0"/>
        <w:snapToGrid w:val="0"/>
        <w:ind w:firstLine="1365" w:firstLineChars="425"/>
        <w:rPr>
          <w:rFonts w:ascii="仿宋_GB2312" w:hAnsi="华文中宋" w:eastAsia="仿宋_GB2312"/>
          <w:b/>
          <w:bCs/>
          <w:sz w:val="32"/>
          <w:szCs w:val="22"/>
        </w:rPr>
      </w:pPr>
    </w:p>
    <w:p w14:paraId="39D1E84B">
      <w:pPr>
        <w:adjustRightInd w:val="0"/>
        <w:snapToGrid w:val="0"/>
        <w:rPr>
          <w:rFonts w:ascii="Calibri" w:hAnsi="Calibri" w:eastAsia="黑体"/>
          <w:bCs/>
          <w:sz w:val="30"/>
          <w:szCs w:val="30"/>
          <w:u w:val="single"/>
        </w:rPr>
      </w:pPr>
      <w:r>
        <w:rPr>
          <w:rFonts w:hint="eastAsia" w:ascii="仿宋_GB2312" w:hAnsi="华文中宋" w:eastAsia="仿宋_GB2312"/>
          <w:b/>
          <w:bCs/>
          <w:sz w:val="32"/>
          <w:szCs w:val="22"/>
        </w:rPr>
        <w:t>代理方（乙方）:</w:t>
      </w:r>
      <w:r>
        <w:rPr>
          <w:rFonts w:hint="eastAsia" w:asciiTheme="minorEastAsia" w:hAnsiTheme="minorEastAsia" w:eastAsiaTheme="minorEastAsia"/>
          <w:bCs/>
          <w:sz w:val="30"/>
          <w:szCs w:val="30"/>
          <w:u w:val="single"/>
        </w:rPr>
        <w:t xml:space="preserve">  </w:t>
      </w:r>
      <w:r>
        <w:rPr>
          <w:rFonts w:hint="eastAsia"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lang w:val="en-US" w:eastAsia="zh-CN"/>
        </w:rPr>
        <w:t xml:space="preserve">                       </w:t>
      </w:r>
      <w:r>
        <w:rPr>
          <w:rFonts w:hint="eastAsia" w:asciiTheme="minorEastAsia" w:hAnsiTheme="minorEastAsia" w:eastAsiaTheme="minorEastAsia"/>
          <w:b/>
          <w:bCs/>
          <w:sz w:val="32"/>
          <w:szCs w:val="32"/>
          <w:u w:val="single"/>
        </w:rPr>
        <w:t xml:space="preserve">      </w:t>
      </w:r>
      <w:r>
        <w:rPr>
          <w:rFonts w:hint="eastAsia" w:asciiTheme="minorEastAsia" w:hAnsiTheme="minorEastAsia" w:eastAsiaTheme="minorEastAsia"/>
          <w:bCs/>
          <w:sz w:val="30"/>
          <w:szCs w:val="30"/>
          <w:u w:val="single"/>
        </w:rPr>
        <w:t xml:space="preserve">  </w:t>
      </w:r>
    </w:p>
    <w:p w14:paraId="7EBC47BD">
      <w:pPr>
        <w:tabs>
          <w:tab w:val="left" w:pos="1440"/>
        </w:tabs>
        <w:adjustRightInd w:val="0"/>
        <w:snapToGrid w:val="0"/>
        <w:jc w:val="center"/>
        <w:rPr>
          <w:rFonts w:ascii="Calibri" w:hAnsi="Calibri" w:eastAsia="黑体"/>
          <w:b/>
          <w:bCs/>
          <w:sz w:val="30"/>
          <w:szCs w:val="30"/>
        </w:rPr>
      </w:pPr>
    </w:p>
    <w:p w14:paraId="70A34BC6">
      <w:pPr>
        <w:adjustRightInd w:val="0"/>
        <w:snapToGrid w:val="0"/>
        <w:jc w:val="center"/>
        <w:rPr>
          <w:rFonts w:ascii="Calibri" w:hAnsi="Calibri" w:eastAsia="黑体"/>
          <w:b/>
          <w:bCs/>
          <w:sz w:val="30"/>
          <w:szCs w:val="30"/>
        </w:rPr>
      </w:pPr>
    </w:p>
    <w:p w14:paraId="3AD35CF4">
      <w:pPr>
        <w:widowControl/>
        <w:jc w:val="left"/>
        <w:rPr>
          <w:rFonts w:ascii="Calibri" w:hAnsi="Calibri" w:eastAsia="黑体"/>
          <w:b/>
          <w:bCs/>
          <w:kern w:val="0"/>
          <w:sz w:val="30"/>
          <w:szCs w:val="30"/>
        </w:rPr>
      </w:pPr>
    </w:p>
    <w:p w14:paraId="4810F7FD">
      <w:pPr>
        <w:pStyle w:val="2"/>
        <w:sectPr>
          <w:footerReference r:id="rId3" w:type="default"/>
          <w:pgSz w:w="11906" w:h="16838"/>
          <w:pgMar w:top="1440" w:right="1080" w:bottom="1440" w:left="1080" w:header="794" w:footer="794" w:gutter="0"/>
          <w:pgBorders>
            <w:top w:val="none" w:sz="0" w:space="0"/>
            <w:left w:val="none" w:sz="0" w:space="0"/>
            <w:bottom w:val="none" w:sz="0" w:space="0"/>
            <w:right w:val="none" w:sz="0" w:space="0"/>
          </w:pgBorders>
          <w:pgNumType w:chapStyle="1"/>
          <w:cols w:space="720" w:num="1"/>
          <w:docGrid w:type="lines" w:linePitch="312" w:charSpace="0"/>
        </w:sectPr>
      </w:pPr>
    </w:p>
    <w:p w14:paraId="386CB27A">
      <w:pPr>
        <w:adjustRightInd w:val="0"/>
        <w:snapToGrid w:val="0"/>
        <w:jc w:val="center"/>
        <w:rPr>
          <w:rFonts w:ascii="Calibri" w:hAnsi="Calibri" w:eastAsia="黑体"/>
          <w:b/>
          <w:sz w:val="30"/>
          <w:szCs w:val="30"/>
        </w:rPr>
      </w:pPr>
      <w:r>
        <w:rPr>
          <w:rFonts w:hint="eastAsia" w:ascii="Calibri" w:hAnsi="Calibri" w:eastAsia="黑体"/>
          <w:b/>
          <w:sz w:val="30"/>
          <w:szCs w:val="30"/>
        </w:rPr>
        <w:t xml:space="preserve">   年度采购招标代理委托协议</w:t>
      </w:r>
    </w:p>
    <w:p w14:paraId="0EA3C815">
      <w:pPr>
        <w:adjustRightInd w:val="0"/>
        <w:snapToGrid w:val="0"/>
        <w:jc w:val="center"/>
        <w:rPr>
          <w:rFonts w:ascii="Calibri" w:hAnsi="Calibri" w:eastAsia="黑体"/>
          <w:bCs/>
          <w:sz w:val="30"/>
          <w:szCs w:val="30"/>
        </w:rPr>
      </w:pPr>
    </w:p>
    <w:p w14:paraId="26570F9F">
      <w:pPr>
        <w:tabs>
          <w:tab w:val="left" w:pos="3240"/>
        </w:tabs>
        <w:adjustRightInd w:val="0"/>
        <w:snapToGrid w:val="0"/>
        <w:spacing w:line="360" w:lineRule="auto"/>
        <w:rPr>
          <w:rFonts w:hint="eastAsia" w:ascii="宋体" w:hAnsi="宋体" w:eastAsia="宋体"/>
          <w:b/>
          <w:bCs/>
          <w:sz w:val="24"/>
          <w:szCs w:val="22"/>
          <w:lang w:eastAsia="zh-CN"/>
        </w:rPr>
      </w:pPr>
      <w:r>
        <w:rPr>
          <w:rFonts w:hint="eastAsia" w:ascii="宋体" w:hAnsi="宋体"/>
          <w:b/>
          <w:bCs/>
          <w:sz w:val="24"/>
          <w:szCs w:val="22"/>
        </w:rPr>
        <w:t>甲方（采购人）：</w:t>
      </w:r>
      <w:r>
        <w:rPr>
          <w:rFonts w:hint="eastAsia" w:ascii="宋体" w:hAnsi="宋体"/>
          <w:b/>
          <w:bCs/>
          <w:sz w:val="24"/>
          <w:szCs w:val="22"/>
          <w:lang w:eastAsia="zh-CN"/>
        </w:rPr>
        <w:t>深圳市科技创新战略研究中心（深圳虚拟大学园管理服务中心）</w:t>
      </w:r>
    </w:p>
    <w:p w14:paraId="51E907F2">
      <w:pPr>
        <w:tabs>
          <w:tab w:val="left" w:pos="3240"/>
        </w:tabs>
        <w:adjustRightInd w:val="0"/>
        <w:snapToGrid w:val="0"/>
        <w:spacing w:line="360" w:lineRule="auto"/>
        <w:rPr>
          <w:rFonts w:ascii="宋体" w:hAnsi="宋体"/>
          <w:b/>
          <w:bCs/>
          <w:sz w:val="24"/>
          <w:szCs w:val="22"/>
        </w:rPr>
      </w:pPr>
      <w:r>
        <w:rPr>
          <w:rFonts w:hint="eastAsia" w:ascii="宋体" w:hAnsi="宋体"/>
          <w:b/>
          <w:bCs/>
          <w:sz w:val="24"/>
          <w:szCs w:val="22"/>
        </w:rPr>
        <w:t>法定代表人：</w:t>
      </w:r>
      <w:r>
        <w:rPr>
          <w:rFonts w:ascii="宋体" w:hAnsi="宋体"/>
          <w:b/>
          <w:bCs/>
          <w:sz w:val="24"/>
          <w:szCs w:val="22"/>
        </w:rPr>
        <w:t xml:space="preserve"> </w:t>
      </w:r>
    </w:p>
    <w:p w14:paraId="31B0C1A4">
      <w:pPr>
        <w:tabs>
          <w:tab w:val="left" w:pos="3240"/>
        </w:tabs>
        <w:adjustRightInd w:val="0"/>
        <w:snapToGrid w:val="0"/>
        <w:spacing w:line="360" w:lineRule="auto"/>
        <w:rPr>
          <w:rFonts w:ascii="宋体" w:hAnsi="宋体"/>
          <w:b/>
          <w:bCs/>
          <w:sz w:val="24"/>
          <w:szCs w:val="22"/>
        </w:rPr>
      </w:pPr>
      <w:r>
        <w:rPr>
          <w:rFonts w:hint="eastAsia" w:ascii="宋体" w:hAnsi="宋体"/>
          <w:b/>
          <w:bCs/>
          <w:sz w:val="24"/>
          <w:szCs w:val="22"/>
        </w:rPr>
        <w:t>地址:</w:t>
      </w:r>
    </w:p>
    <w:p w14:paraId="52C85B9E">
      <w:pPr>
        <w:tabs>
          <w:tab w:val="left" w:pos="3240"/>
        </w:tabs>
        <w:adjustRightInd w:val="0"/>
        <w:snapToGrid w:val="0"/>
        <w:spacing w:line="360" w:lineRule="auto"/>
        <w:rPr>
          <w:rFonts w:ascii="宋体" w:hAnsi="宋体"/>
          <w:b/>
          <w:bCs/>
          <w:sz w:val="24"/>
          <w:szCs w:val="22"/>
        </w:rPr>
      </w:pPr>
    </w:p>
    <w:p w14:paraId="7BFD9DD2">
      <w:pPr>
        <w:tabs>
          <w:tab w:val="left" w:pos="3240"/>
        </w:tabs>
        <w:adjustRightInd w:val="0"/>
        <w:snapToGrid w:val="0"/>
        <w:spacing w:line="360" w:lineRule="auto"/>
        <w:rPr>
          <w:rFonts w:ascii="宋体" w:hAnsi="宋体"/>
          <w:b/>
          <w:bCs/>
          <w:sz w:val="24"/>
          <w:szCs w:val="22"/>
        </w:rPr>
      </w:pPr>
      <w:r>
        <w:rPr>
          <w:rFonts w:hint="eastAsia" w:ascii="宋体" w:hAnsi="宋体"/>
          <w:b/>
          <w:bCs/>
          <w:sz w:val="24"/>
          <w:szCs w:val="22"/>
        </w:rPr>
        <w:t>乙方（采购代理机构）：</w:t>
      </w:r>
    </w:p>
    <w:p w14:paraId="5AC14378">
      <w:pPr>
        <w:tabs>
          <w:tab w:val="left" w:pos="3240"/>
        </w:tabs>
        <w:adjustRightInd w:val="0"/>
        <w:snapToGrid w:val="0"/>
        <w:spacing w:line="360" w:lineRule="auto"/>
        <w:rPr>
          <w:rFonts w:ascii="宋体" w:hAnsi="宋体"/>
          <w:b/>
          <w:bCs/>
          <w:sz w:val="24"/>
          <w:szCs w:val="22"/>
        </w:rPr>
      </w:pPr>
      <w:r>
        <w:rPr>
          <w:rFonts w:hint="eastAsia" w:ascii="宋体" w:hAnsi="宋体"/>
          <w:b/>
          <w:bCs/>
          <w:sz w:val="24"/>
          <w:szCs w:val="22"/>
        </w:rPr>
        <w:t>法定代表人：</w:t>
      </w:r>
    </w:p>
    <w:p w14:paraId="49A493A7">
      <w:pPr>
        <w:tabs>
          <w:tab w:val="left" w:pos="3240"/>
        </w:tabs>
        <w:adjustRightInd w:val="0"/>
        <w:snapToGrid w:val="0"/>
        <w:spacing w:line="360" w:lineRule="auto"/>
        <w:rPr>
          <w:rFonts w:ascii="宋体" w:hAnsi="宋体"/>
          <w:b/>
          <w:bCs/>
          <w:sz w:val="24"/>
          <w:szCs w:val="22"/>
        </w:rPr>
      </w:pPr>
      <w:r>
        <w:rPr>
          <w:rFonts w:hint="eastAsia" w:ascii="宋体" w:hAnsi="宋体"/>
          <w:b/>
          <w:bCs/>
          <w:sz w:val="24"/>
          <w:szCs w:val="22"/>
        </w:rPr>
        <w:t>地址：</w:t>
      </w:r>
    </w:p>
    <w:p w14:paraId="02F74FBA">
      <w:pPr>
        <w:tabs>
          <w:tab w:val="left" w:pos="3240"/>
        </w:tabs>
        <w:adjustRightInd w:val="0"/>
        <w:snapToGrid w:val="0"/>
        <w:spacing w:line="360" w:lineRule="auto"/>
        <w:rPr>
          <w:rFonts w:ascii="宋体" w:hAnsi="宋体"/>
          <w:b/>
          <w:bCs/>
          <w:sz w:val="24"/>
          <w:szCs w:val="22"/>
        </w:rPr>
      </w:pPr>
    </w:p>
    <w:p w14:paraId="530F5DAB">
      <w:pPr>
        <w:rPr>
          <w:rFonts w:ascii="Calibri" w:hAnsi="Calibri"/>
          <w:szCs w:val="22"/>
        </w:rPr>
      </w:pPr>
    </w:p>
    <w:p w14:paraId="7E7C21FD">
      <w:pPr>
        <w:adjustRightInd w:val="0"/>
        <w:snapToGrid w:val="0"/>
        <w:spacing w:line="360" w:lineRule="auto"/>
        <w:ind w:firstLine="480" w:firstLineChars="200"/>
        <w:rPr>
          <w:rFonts w:ascii="宋体" w:hAnsi="宋体"/>
          <w:sz w:val="24"/>
          <w:szCs w:val="22"/>
        </w:rPr>
      </w:pPr>
      <w:r>
        <w:rPr>
          <w:rFonts w:hint="eastAsia" w:ascii="宋体" w:hAnsi="宋体"/>
          <w:sz w:val="24"/>
          <w:szCs w:val="22"/>
        </w:rPr>
        <w:t>依据《深圳经济特区政府采购条例》、《深圳经济特区政府采购条例实施细则》、《中华人民共和国政府采购法》、《中华人民共和国政府采购法实施条例》、《政府采购货物和服务招标投标管理办法》、《中华人民共和国民法典》及深圳或国家最新的招投标有关规定，甲方自愿委托乙方进行年度采购代理，乙方愿意接受甲方的委托按照有关规定，在甲方委托范围内依法组织采购活动。经双方协商一致，本着平等自愿、互惠互利的原则，签订本委托协议。</w:t>
      </w:r>
    </w:p>
    <w:p w14:paraId="115EDF5C">
      <w:pPr>
        <w:numPr>
          <w:ilvl w:val="0"/>
          <w:numId w:val="26"/>
        </w:numPr>
        <w:adjustRightInd w:val="0"/>
        <w:snapToGrid w:val="0"/>
        <w:spacing w:line="360" w:lineRule="auto"/>
        <w:ind w:left="554" w:hanging="554" w:hangingChars="230"/>
        <w:outlineLvl w:val="0"/>
        <w:rPr>
          <w:rFonts w:ascii="宋体" w:hAnsi="宋体"/>
          <w:b/>
          <w:bCs/>
          <w:sz w:val="24"/>
          <w:szCs w:val="22"/>
        </w:rPr>
      </w:pPr>
      <w:bookmarkStart w:id="216" w:name="_Toc1088809494"/>
      <w:bookmarkStart w:id="217" w:name="_Toc2071170690"/>
      <w:bookmarkStart w:id="218" w:name="_Toc54419981"/>
      <w:r>
        <w:rPr>
          <w:rFonts w:hint="eastAsia" w:ascii="宋体" w:hAnsi="宋体"/>
          <w:b/>
          <w:bCs/>
          <w:sz w:val="24"/>
          <w:szCs w:val="22"/>
        </w:rPr>
        <w:t>项目概括基本要素</w:t>
      </w:r>
      <w:bookmarkEnd w:id="216"/>
      <w:bookmarkEnd w:id="217"/>
      <w:bookmarkEnd w:id="218"/>
      <w:r>
        <w:rPr>
          <w:rFonts w:hint="eastAsia" w:ascii="宋体" w:hAnsi="宋体"/>
          <w:b/>
          <w:bCs/>
          <w:sz w:val="24"/>
          <w:szCs w:val="22"/>
        </w:rPr>
        <w:t xml:space="preserve"> </w:t>
      </w:r>
    </w:p>
    <w:p w14:paraId="16524C5D">
      <w:pPr>
        <w:numPr>
          <w:ilvl w:val="0"/>
          <w:numId w:val="27"/>
        </w:numPr>
        <w:adjustRightInd w:val="0"/>
        <w:snapToGrid w:val="0"/>
        <w:spacing w:line="360" w:lineRule="auto"/>
        <w:ind w:left="851"/>
        <w:rPr>
          <w:rFonts w:ascii="宋体" w:hAnsi="宋体"/>
          <w:bCs/>
          <w:sz w:val="24"/>
          <w:szCs w:val="22"/>
          <w:u w:val="single"/>
        </w:rPr>
      </w:pPr>
      <w:r>
        <w:rPr>
          <w:rFonts w:hint="eastAsia" w:ascii="宋体" w:hAnsi="宋体"/>
          <w:bCs/>
          <w:sz w:val="24"/>
          <w:szCs w:val="22"/>
        </w:rPr>
        <w:t>委托期限：</w:t>
      </w:r>
      <w:r>
        <w:rPr>
          <w:rFonts w:hint="eastAsia" w:ascii="宋体" w:hAnsi="宋体"/>
          <w:bCs/>
          <w:sz w:val="24"/>
          <w:szCs w:val="22"/>
          <w:u w:val="single"/>
        </w:rPr>
        <w:t xml:space="preserve"> 自协议签订之日起至     年   月  日 </w:t>
      </w:r>
    </w:p>
    <w:p w14:paraId="00A31307">
      <w:pPr>
        <w:numPr>
          <w:ilvl w:val="0"/>
          <w:numId w:val="27"/>
        </w:numPr>
        <w:adjustRightInd w:val="0"/>
        <w:snapToGrid w:val="0"/>
        <w:spacing w:line="360" w:lineRule="auto"/>
        <w:ind w:left="851"/>
        <w:rPr>
          <w:rFonts w:asciiTheme="minorHAnsi" w:hAnsiTheme="minorHAnsi" w:eastAsiaTheme="minorEastAsia" w:cstheme="minorBidi"/>
          <w:szCs w:val="22"/>
        </w:rPr>
      </w:pPr>
      <w:r>
        <w:rPr>
          <w:rFonts w:hint="eastAsia" w:ascii="宋体" w:hAnsi="宋体"/>
          <w:sz w:val="24"/>
          <w:szCs w:val="22"/>
        </w:rPr>
        <w:t>委托内</w:t>
      </w:r>
      <w:r>
        <w:rPr>
          <w:rFonts w:hint="eastAsia" w:ascii="宋体" w:hAnsi="宋体"/>
          <w:bCs/>
          <w:sz w:val="24"/>
          <w:szCs w:val="22"/>
        </w:rPr>
        <w:t>容：按照当年政府集中采购目录的规定，属于代理机构组织实施的项目；以及甲方需要委托的自行采购项目。</w:t>
      </w:r>
    </w:p>
    <w:p w14:paraId="032AB5E2">
      <w:pPr>
        <w:numPr>
          <w:ilvl w:val="0"/>
          <w:numId w:val="27"/>
        </w:numPr>
        <w:adjustRightInd w:val="0"/>
        <w:snapToGrid w:val="0"/>
        <w:spacing w:line="360" w:lineRule="auto"/>
        <w:ind w:left="851"/>
        <w:rPr>
          <w:rFonts w:ascii="宋体" w:hAnsi="宋体"/>
          <w:sz w:val="24"/>
          <w:szCs w:val="22"/>
          <w:u w:val="single"/>
        </w:rPr>
      </w:pPr>
      <w:r>
        <w:rPr>
          <w:rFonts w:hint="eastAsia" w:ascii="宋体" w:hAnsi="宋体"/>
          <w:bCs/>
          <w:sz w:val="24"/>
          <w:szCs w:val="22"/>
        </w:rPr>
        <w:t>采购人类型：</w:t>
      </w:r>
      <w:r>
        <w:rPr>
          <w:rFonts w:hint="eastAsia" w:ascii="宋体" w:hAnsi="宋体"/>
          <w:bCs/>
          <w:sz w:val="24"/>
          <w:szCs w:val="22"/>
          <w:u w:val="single"/>
        </w:rPr>
        <w:t xml:space="preserve"> B </w:t>
      </w:r>
    </w:p>
    <w:p w14:paraId="67A2E51B">
      <w:pPr>
        <w:adjustRightInd w:val="0"/>
        <w:snapToGrid w:val="0"/>
        <w:spacing w:line="360" w:lineRule="auto"/>
        <w:ind w:left="851"/>
        <w:rPr>
          <w:rFonts w:ascii="宋体" w:hAnsi="宋体"/>
          <w:bCs/>
          <w:sz w:val="24"/>
          <w:szCs w:val="22"/>
        </w:rPr>
      </w:pPr>
      <w:r>
        <w:rPr>
          <w:rFonts w:hint="eastAsia" w:ascii="宋体" w:hAnsi="宋体"/>
          <w:bCs/>
          <w:sz w:val="24"/>
          <w:szCs w:val="22"/>
        </w:rPr>
        <w:t>A. 国家机关   B. 事业单位   C. 团体组织    D. 其他（请注明）</w:t>
      </w:r>
    </w:p>
    <w:p w14:paraId="6ED09518">
      <w:pPr>
        <w:numPr>
          <w:ilvl w:val="0"/>
          <w:numId w:val="26"/>
        </w:numPr>
        <w:adjustRightInd w:val="0"/>
        <w:snapToGrid w:val="0"/>
        <w:spacing w:line="360" w:lineRule="auto"/>
        <w:ind w:left="554" w:hanging="554" w:hangingChars="230"/>
        <w:outlineLvl w:val="0"/>
        <w:rPr>
          <w:rFonts w:ascii="宋体" w:hAnsi="宋体"/>
          <w:b/>
          <w:bCs/>
          <w:sz w:val="24"/>
          <w:szCs w:val="22"/>
        </w:rPr>
      </w:pPr>
      <w:bookmarkStart w:id="219" w:name="_Toc555314822"/>
      <w:bookmarkStart w:id="220" w:name="_Toc160406747"/>
      <w:bookmarkStart w:id="221" w:name="_Toc115873638"/>
      <w:r>
        <w:rPr>
          <w:rFonts w:hint="eastAsia" w:ascii="宋体" w:hAnsi="宋体"/>
          <w:b/>
          <w:bCs/>
          <w:sz w:val="24"/>
          <w:szCs w:val="22"/>
        </w:rPr>
        <w:t>委托范围</w:t>
      </w:r>
      <w:bookmarkEnd w:id="219"/>
      <w:bookmarkEnd w:id="220"/>
      <w:bookmarkEnd w:id="221"/>
    </w:p>
    <w:p w14:paraId="712D136F">
      <w:pPr>
        <w:tabs>
          <w:tab w:val="left" w:pos="1110"/>
        </w:tabs>
        <w:adjustRightInd w:val="0"/>
        <w:snapToGrid w:val="0"/>
        <w:spacing w:line="360" w:lineRule="auto"/>
        <w:ind w:left="359" w:leftChars="171"/>
        <w:rPr>
          <w:rFonts w:ascii="宋体" w:hAnsi="宋体"/>
          <w:sz w:val="24"/>
          <w:szCs w:val="22"/>
        </w:rPr>
      </w:pPr>
      <w:r>
        <w:rPr>
          <w:rFonts w:hint="eastAsia" w:ascii="宋体" w:hAnsi="宋体"/>
          <w:sz w:val="24"/>
          <w:szCs w:val="22"/>
        </w:rPr>
        <w:t>乙方接受甲方的委托，依照法定程序组织以下各项采购代理活动：</w:t>
      </w:r>
    </w:p>
    <w:p w14:paraId="689DBC8C">
      <w:pPr>
        <w:numPr>
          <w:ilvl w:val="0"/>
          <w:numId w:val="28"/>
        </w:numPr>
        <w:adjustRightInd w:val="0"/>
        <w:snapToGrid w:val="0"/>
        <w:spacing w:line="360" w:lineRule="auto"/>
        <w:ind w:left="851"/>
        <w:rPr>
          <w:rFonts w:ascii="宋体" w:hAnsi="宋体"/>
          <w:sz w:val="24"/>
          <w:szCs w:val="22"/>
        </w:rPr>
      </w:pPr>
      <w:r>
        <w:rPr>
          <w:rFonts w:hint="eastAsia" w:ascii="宋体" w:hAnsi="宋体"/>
          <w:sz w:val="24"/>
          <w:szCs w:val="22"/>
        </w:rPr>
        <w:t>根据甲方提供的采购需求，编制、发售、解释招标文件；</w:t>
      </w:r>
    </w:p>
    <w:p w14:paraId="74095A2D">
      <w:pPr>
        <w:numPr>
          <w:ilvl w:val="0"/>
          <w:numId w:val="28"/>
        </w:numPr>
        <w:adjustRightInd w:val="0"/>
        <w:snapToGrid w:val="0"/>
        <w:spacing w:line="360" w:lineRule="auto"/>
        <w:ind w:left="851"/>
        <w:rPr>
          <w:rFonts w:ascii="宋体" w:hAnsi="宋体"/>
          <w:sz w:val="24"/>
          <w:szCs w:val="22"/>
        </w:rPr>
      </w:pPr>
      <w:r>
        <w:rPr>
          <w:rFonts w:hint="eastAsia" w:ascii="宋体" w:hAnsi="宋体"/>
          <w:sz w:val="24"/>
          <w:szCs w:val="22"/>
        </w:rPr>
        <w:t>协助甲方编制评分指标；</w:t>
      </w:r>
    </w:p>
    <w:p w14:paraId="6F63A9E3">
      <w:pPr>
        <w:numPr>
          <w:ilvl w:val="0"/>
          <w:numId w:val="28"/>
        </w:numPr>
        <w:adjustRightInd w:val="0"/>
        <w:snapToGrid w:val="0"/>
        <w:spacing w:line="360" w:lineRule="auto"/>
        <w:ind w:left="851"/>
        <w:rPr>
          <w:rFonts w:ascii="宋体" w:hAnsi="宋体"/>
          <w:sz w:val="24"/>
          <w:szCs w:val="22"/>
        </w:rPr>
      </w:pPr>
      <w:r>
        <w:rPr>
          <w:rFonts w:hint="eastAsia" w:ascii="宋体" w:hAnsi="宋体"/>
          <w:sz w:val="24"/>
          <w:szCs w:val="22"/>
        </w:rPr>
        <w:t>在政府采购监督管理部门指定媒体上发布信息公告（发布招标公告、变更延期公告、发布中标结果公示），发送中标（成交）通知书；</w:t>
      </w:r>
    </w:p>
    <w:p w14:paraId="0CA69DAE">
      <w:pPr>
        <w:numPr>
          <w:ilvl w:val="0"/>
          <w:numId w:val="28"/>
        </w:numPr>
        <w:adjustRightInd w:val="0"/>
        <w:snapToGrid w:val="0"/>
        <w:spacing w:line="360" w:lineRule="auto"/>
        <w:ind w:left="851"/>
        <w:rPr>
          <w:rFonts w:ascii="宋体" w:hAnsi="宋体"/>
          <w:sz w:val="24"/>
          <w:szCs w:val="22"/>
        </w:rPr>
      </w:pPr>
      <w:r>
        <w:rPr>
          <w:rFonts w:hint="eastAsia" w:ascii="宋体" w:hAnsi="宋体"/>
          <w:sz w:val="24"/>
          <w:szCs w:val="22"/>
        </w:rPr>
        <w:t>接受潜在投标人对招标文件条款提出的疑问或质疑，并结合甲方意见予以澄清；</w:t>
      </w:r>
    </w:p>
    <w:p w14:paraId="30505683">
      <w:pPr>
        <w:numPr>
          <w:ilvl w:val="0"/>
          <w:numId w:val="28"/>
        </w:numPr>
        <w:adjustRightInd w:val="0"/>
        <w:snapToGrid w:val="0"/>
        <w:spacing w:line="360" w:lineRule="auto"/>
        <w:ind w:left="851"/>
        <w:rPr>
          <w:rFonts w:ascii="宋体" w:hAnsi="宋体"/>
          <w:sz w:val="24"/>
          <w:szCs w:val="22"/>
        </w:rPr>
      </w:pPr>
      <w:r>
        <w:rPr>
          <w:rFonts w:hint="eastAsia" w:ascii="宋体" w:hAnsi="宋体"/>
          <w:sz w:val="24"/>
          <w:szCs w:val="22"/>
        </w:rPr>
        <w:t>依法抽取专家，组建评审委员会；</w:t>
      </w:r>
    </w:p>
    <w:p w14:paraId="243E5422">
      <w:pPr>
        <w:numPr>
          <w:ilvl w:val="0"/>
          <w:numId w:val="28"/>
        </w:numPr>
        <w:adjustRightInd w:val="0"/>
        <w:snapToGrid w:val="0"/>
        <w:spacing w:line="360" w:lineRule="auto"/>
        <w:ind w:left="851"/>
        <w:rPr>
          <w:rFonts w:ascii="宋体" w:hAnsi="宋体"/>
          <w:sz w:val="24"/>
          <w:szCs w:val="22"/>
        </w:rPr>
      </w:pPr>
      <w:r>
        <w:rPr>
          <w:rFonts w:hint="eastAsia" w:ascii="宋体" w:hAnsi="宋体"/>
          <w:sz w:val="24"/>
          <w:szCs w:val="22"/>
        </w:rPr>
        <w:t>协助甲方对投标人的资格进行审查或接受甲方全权委托对投标人的资格进行审查；</w:t>
      </w:r>
    </w:p>
    <w:p w14:paraId="514C3A54">
      <w:pPr>
        <w:numPr>
          <w:ilvl w:val="0"/>
          <w:numId w:val="28"/>
        </w:numPr>
        <w:adjustRightInd w:val="0"/>
        <w:snapToGrid w:val="0"/>
        <w:spacing w:line="360" w:lineRule="auto"/>
        <w:ind w:left="851"/>
        <w:rPr>
          <w:rFonts w:ascii="宋体" w:hAnsi="宋体"/>
          <w:sz w:val="24"/>
          <w:szCs w:val="22"/>
        </w:rPr>
      </w:pPr>
      <w:r>
        <w:rPr>
          <w:rFonts w:hint="eastAsia" w:ascii="宋体" w:hAnsi="宋体"/>
          <w:sz w:val="24"/>
          <w:szCs w:val="22"/>
        </w:rPr>
        <w:t>组织开标、评审工作，并做好评审记录，提供技术支持和物资保障；</w:t>
      </w:r>
    </w:p>
    <w:p w14:paraId="092FEABB">
      <w:pPr>
        <w:numPr>
          <w:ilvl w:val="0"/>
          <w:numId w:val="28"/>
        </w:numPr>
        <w:adjustRightInd w:val="0"/>
        <w:snapToGrid w:val="0"/>
        <w:spacing w:line="360" w:lineRule="auto"/>
        <w:ind w:left="851"/>
        <w:rPr>
          <w:rFonts w:ascii="宋体" w:hAnsi="宋体"/>
          <w:sz w:val="24"/>
          <w:szCs w:val="22"/>
        </w:rPr>
      </w:pPr>
      <w:r>
        <w:rPr>
          <w:rFonts w:hint="eastAsia" w:ascii="宋体" w:hAnsi="宋体"/>
          <w:sz w:val="24"/>
          <w:szCs w:val="22"/>
        </w:rPr>
        <w:t>接受投标人质疑，根据甲方意见给予回复，并配合甲方处理投诉（如有）；</w:t>
      </w:r>
    </w:p>
    <w:p w14:paraId="7EE599CF">
      <w:pPr>
        <w:adjustRightInd w:val="0"/>
        <w:snapToGrid w:val="0"/>
        <w:spacing w:line="360" w:lineRule="auto"/>
        <w:ind w:left="848" w:leftChars="202" w:hanging="424" w:hangingChars="177"/>
        <w:rPr>
          <w:rFonts w:ascii="宋体" w:hAnsi="宋体"/>
          <w:sz w:val="24"/>
          <w:szCs w:val="22"/>
        </w:rPr>
      </w:pPr>
      <w:r>
        <w:rPr>
          <w:rFonts w:hint="eastAsia" w:ascii="宋体" w:hAnsi="宋体"/>
          <w:sz w:val="24"/>
          <w:szCs w:val="22"/>
        </w:rPr>
        <w:t>9、按政府采购及招投标相关法律要求移交招投标文档给甲方（相关开标及评审活动应当全程及录音录像，录音录像应当清晰可辨），并保留招投标过程文档以备查验；</w:t>
      </w:r>
    </w:p>
    <w:p w14:paraId="3D154594">
      <w:pPr>
        <w:adjustRightInd w:val="0"/>
        <w:snapToGrid w:val="0"/>
        <w:spacing w:line="360" w:lineRule="auto"/>
        <w:ind w:left="426"/>
        <w:rPr>
          <w:rFonts w:ascii="宋体" w:hAnsi="宋体"/>
          <w:sz w:val="24"/>
          <w:szCs w:val="22"/>
        </w:rPr>
      </w:pPr>
      <w:r>
        <w:rPr>
          <w:rFonts w:hint="eastAsia" w:ascii="宋体" w:hAnsi="宋体"/>
          <w:sz w:val="24"/>
          <w:szCs w:val="22"/>
        </w:rPr>
        <w:t>10、法律法规规定的其他事项。</w:t>
      </w:r>
    </w:p>
    <w:p w14:paraId="02B7911C">
      <w:pPr>
        <w:numPr>
          <w:ilvl w:val="0"/>
          <w:numId w:val="26"/>
        </w:numPr>
        <w:adjustRightInd w:val="0"/>
        <w:snapToGrid w:val="0"/>
        <w:spacing w:line="360" w:lineRule="auto"/>
        <w:ind w:left="554" w:hanging="554" w:hangingChars="230"/>
        <w:outlineLvl w:val="0"/>
        <w:rPr>
          <w:rFonts w:ascii="宋体" w:hAnsi="宋体"/>
          <w:b/>
          <w:bCs/>
          <w:sz w:val="24"/>
          <w:szCs w:val="22"/>
        </w:rPr>
      </w:pPr>
      <w:bookmarkStart w:id="222" w:name="_Toc782097335"/>
      <w:bookmarkStart w:id="223" w:name="_Toc508049035"/>
      <w:bookmarkStart w:id="224" w:name="_Toc1263945661"/>
      <w:r>
        <w:rPr>
          <w:rFonts w:hint="eastAsia" w:ascii="宋体" w:hAnsi="宋体"/>
          <w:b/>
          <w:bCs/>
          <w:sz w:val="24"/>
          <w:szCs w:val="22"/>
        </w:rPr>
        <w:t>甲方和乙方的权利和义务</w:t>
      </w:r>
      <w:bookmarkEnd w:id="222"/>
      <w:bookmarkEnd w:id="223"/>
      <w:bookmarkEnd w:id="224"/>
    </w:p>
    <w:p w14:paraId="1E4C8A24">
      <w:pPr>
        <w:adjustRightInd w:val="0"/>
        <w:snapToGrid w:val="0"/>
        <w:spacing w:line="360" w:lineRule="auto"/>
        <w:ind w:firstLine="354" w:firstLineChars="147"/>
        <w:outlineLvl w:val="0"/>
        <w:rPr>
          <w:rFonts w:ascii="宋体" w:hAnsi="宋体"/>
          <w:b/>
          <w:bCs/>
          <w:sz w:val="24"/>
          <w:szCs w:val="22"/>
        </w:rPr>
      </w:pPr>
      <w:bookmarkStart w:id="225" w:name="_Toc1914037721"/>
      <w:bookmarkStart w:id="226" w:name="_Toc1545465174"/>
      <w:bookmarkStart w:id="227" w:name="_Toc575957761"/>
      <w:r>
        <w:rPr>
          <w:rFonts w:hint="eastAsia" w:ascii="宋体" w:hAnsi="宋体"/>
          <w:b/>
          <w:bCs/>
          <w:sz w:val="24"/>
          <w:szCs w:val="22"/>
        </w:rPr>
        <w:t>（一）甲方的权利和义务</w:t>
      </w:r>
      <w:bookmarkEnd w:id="225"/>
      <w:bookmarkEnd w:id="226"/>
      <w:bookmarkEnd w:id="227"/>
    </w:p>
    <w:p w14:paraId="2768E87F">
      <w:pPr>
        <w:numPr>
          <w:ilvl w:val="0"/>
          <w:numId w:val="29"/>
        </w:numPr>
        <w:tabs>
          <w:tab w:val="left" w:pos="851"/>
        </w:tabs>
        <w:adjustRightInd w:val="0"/>
        <w:snapToGrid w:val="0"/>
        <w:spacing w:line="360" w:lineRule="auto"/>
        <w:ind w:left="851" w:hanging="494"/>
        <w:rPr>
          <w:rFonts w:ascii="宋体" w:hAnsi="宋体"/>
          <w:sz w:val="24"/>
          <w:szCs w:val="22"/>
        </w:rPr>
      </w:pPr>
      <w:r>
        <w:rPr>
          <w:rFonts w:hint="eastAsia" w:ascii="宋体" w:hAnsi="宋体"/>
          <w:sz w:val="24"/>
          <w:szCs w:val="22"/>
        </w:rPr>
        <w:t>遵守《中华人民共和国政府采购法》关于“甲方（采购人）”的有关规定，并享有有关政策法规规定的其它有关权利，承担委托采购的法律责任。</w:t>
      </w:r>
    </w:p>
    <w:p w14:paraId="087F6166">
      <w:pPr>
        <w:numPr>
          <w:ilvl w:val="0"/>
          <w:numId w:val="29"/>
        </w:numPr>
        <w:tabs>
          <w:tab w:val="left" w:pos="851"/>
        </w:tabs>
        <w:adjustRightInd w:val="0"/>
        <w:snapToGrid w:val="0"/>
        <w:spacing w:line="360" w:lineRule="auto"/>
        <w:ind w:left="851" w:hanging="494"/>
        <w:rPr>
          <w:rFonts w:ascii="宋体" w:hAnsi="宋体"/>
          <w:sz w:val="24"/>
          <w:szCs w:val="22"/>
        </w:rPr>
      </w:pPr>
      <w:r>
        <w:rPr>
          <w:rFonts w:hint="eastAsia" w:ascii="宋体" w:hAnsi="宋体"/>
          <w:sz w:val="24"/>
          <w:szCs w:val="22"/>
        </w:rPr>
        <w:t>对采购标的的市场技术或者服务水平、供应、价格等情况进行市场调查，根据调查情况、资产配置标准等科学、合理地确定采购需求，进行前期价格及技术需求论证。</w:t>
      </w:r>
    </w:p>
    <w:p w14:paraId="40004E4D">
      <w:pPr>
        <w:numPr>
          <w:ilvl w:val="0"/>
          <w:numId w:val="29"/>
        </w:numPr>
        <w:tabs>
          <w:tab w:val="left" w:pos="851"/>
        </w:tabs>
        <w:adjustRightInd w:val="0"/>
        <w:snapToGrid w:val="0"/>
        <w:spacing w:line="360" w:lineRule="auto"/>
        <w:ind w:left="851" w:hanging="494"/>
        <w:rPr>
          <w:rFonts w:ascii="宋体" w:hAnsi="宋体"/>
          <w:sz w:val="24"/>
          <w:szCs w:val="22"/>
        </w:rPr>
      </w:pPr>
      <w:r>
        <w:rPr>
          <w:rFonts w:hint="eastAsia" w:ascii="宋体" w:hAnsi="宋体"/>
          <w:sz w:val="24"/>
          <w:szCs w:val="22"/>
        </w:rPr>
        <w:t>向乙方提供采购项目的详细资料，包括项目立项计划资料、进口产品批复文件（如有）、项目的技术、商务、质量、服务要求及合同主要条款书面材料,并保证这些资料的准确性与合法性。</w:t>
      </w:r>
    </w:p>
    <w:p w14:paraId="12260F3F">
      <w:pPr>
        <w:numPr>
          <w:ilvl w:val="0"/>
          <w:numId w:val="29"/>
        </w:numPr>
        <w:tabs>
          <w:tab w:val="left" w:pos="851"/>
        </w:tabs>
        <w:adjustRightInd w:val="0"/>
        <w:snapToGrid w:val="0"/>
        <w:spacing w:line="360" w:lineRule="auto"/>
        <w:ind w:left="851" w:hanging="494"/>
        <w:rPr>
          <w:rFonts w:ascii="宋体" w:hAnsi="宋体"/>
          <w:sz w:val="24"/>
          <w:szCs w:val="22"/>
        </w:rPr>
      </w:pPr>
      <w:r>
        <w:rPr>
          <w:rFonts w:hint="eastAsia" w:ascii="宋体" w:hAnsi="宋体"/>
          <w:sz w:val="24"/>
          <w:szCs w:val="22"/>
        </w:rPr>
        <w:t>审核并盖章确认乙方拟定的采购文件、更正/变更公告、答疑会议纪要等发布的相关信息公告内容。</w:t>
      </w:r>
    </w:p>
    <w:p w14:paraId="75C74684">
      <w:pPr>
        <w:numPr>
          <w:ilvl w:val="0"/>
          <w:numId w:val="29"/>
        </w:numPr>
        <w:tabs>
          <w:tab w:val="left" w:pos="851"/>
        </w:tabs>
        <w:adjustRightInd w:val="0"/>
        <w:snapToGrid w:val="0"/>
        <w:spacing w:line="360" w:lineRule="auto"/>
        <w:ind w:left="851" w:hanging="494"/>
        <w:rPr>
          <w:rFonts w:ascii="宋体" w:hAnsi="宋体"/>
          <w:sz w:val="24"/>
          <w:szCs w:val="22"/>
        </w:rPr>
      </w:pPr>
      <w:r>
        <w:rPr>
          <w:rFonts w:hint="eastAsia" w:ascii="宋体" w:hAnsi="宋体"/>
          <w:sz w:val="24"/>
          <w:szCs w:val="22"/>
        </w:rPr>
        <w:t>负责答复有关采购需求方面的询问或质疑,配合乙方在规定的时间内答复投标人依法提出的询问或者质疑。</w:t>
      </w:r>
    </w:p>
    <w:p w14:paraId="4F37AAF4">
      <w:pPr>
        <w:numPr>
          <w:ilvl w:val="0"/>
          <w:numId w:val="29"/>
        </w:numPr>
        <w:tabs>
          <w:tab w:val="left" w:pos="851"/>
        </w:tabs>
        <w:adjustRightInd w:val="0"/>
        <w:snapToGrid w:val="0"/>
        <w:spacing w:line="360" w:lineRule="auto"/>
        <w:ind w:left="851" w:hanging="494"/>
        <w:rPr>
          <w:rFonts w:ascii="宋体" w:hAnsi="宋体"/>
          <w:sz w:val="24"/>
          <w:szCs w:val="22"/>
        </w:rPr>
      </w:pPr>
      <w:r>
        <w:rPr>
          <w:rFonts w:hint="eastAsia" w:ascii="宋体" w:hAnsi="宋体"/>
          <w:sz w:val="24"/>
          <w:szCs w:val="22"/>
        </w:rPr>
        <w:t>按照相关规定向乙方出具授权函,授权委派代表为评审委员会成员，参加乙方组织的评审会议；授权开标会议代表进入开标现场，参加开标会议（如需）；授权资格审查代表对投标人的资格进行审查（如需）。所委派的评审委员会成员与开标会议代表不得为同一人。被委派人员应准时到达会议现场，并对会议内容负有保密责任。</w:t>
      </w:r>
    </w:p>
    <w:p w14:paraId="0887E6CA">
      <w:pPr>
        <w:numPr>
          <w:ilvl w:val="0"/>
          <w:numId w:val="29"/>
        </w:numPr>
        <w:tabs>
          <w:tab w:val="left" w:pos="851"/>
        </w:tabs>
        <w:adjustRightInd w:val="0"/>
        <w:snapToGrid w:val="0"/>
        <w:spacing w:line="360" w:lineRule="auto"/>
        <w:ind w:left="851" w:hanging="494"/>
        <w:rPr>
          <w:rFonts w:ascii="宋体" w:hAnsi="宋体"/>
          <w:sz w:val="24"/>
          <w:szCs w:val="22"/>
        </w:rPr>
      </w:pPr>
      <w:r>
        <w:rPr>
          <w:rFonts w:hint="eastAsia" w:ascii="宋体" w:hAnsi="宋体"/>
          <w:sz w:val="24"/>
          <w:szCs w:val="22"/>
        </w:rPr>
        <w:t>甲方</w:t>
      </w:r>
      <w:r>
        <w:rPr>
          <w:rFonts w:hint="eastAsia" w:ascii="Calibri" w:hAnsi="Calibri"/>
          <w:bCs/>
          <w:sz w:val="24"/>
          <w:szCs w:val="22"/>
        </w:rPr>
        <w:t>在评审前介绍项目背景和技术需求的，必须事先提交书面介绍材料，介绍内容不存在歧视性、倾向性意见，不超出采购文件所述范围。</w:t>
      </w:r>
    </w:p>
    <w:p w14:paraId="33B771F9">
      <w:pPr>
        <w:numPr>
          <w:ilvl w:val="0"/>
          <w:numId w:val="29"/>
        </w:numPr>
        <w:tabs>
          <w:tab w:val="left" w:pos="851"/>
        </w:tabs>
        <w:adjustRightInd w:val="0"/>
        <w:snapToGrid w:val="0"/>
        <w:spacing w:line="360" w:lineRule="auto"/>
        <w:ind w:left="851" w:hanging="494"/>
        <w:rPr>
          <w:rFonts w:ascii="宋体" w:hAnsi="宋体"/>
          <w:sz w:val="24"/>
          <w:szCs w:val="22"/>
        </w:rPr>
      </w:pPr>
      <w:r>
        <w:rPr>
          <w:rFonts w:hint="eastAsia" w:ascii="宋体" w:hAnsi="宋体"/>
          <w:sz w:val="24"/>
          <w:szCs w:val="22"/>
        </w:rPr>
        <w:t>自收到评审报告之日起3个工作日内根据招标文件及评审报告确定中标或成交供应商。在收到评审报告3个工作日内未按招标文件及评审报告确定中标人，又不能说明合法理由的，视同按评标报告推荐的顺序确定排名第一的中标（成交）候选人为中标（成交）人。</w:t>
      </w:r>
    </w:p>
    <w:p w14:paraId="2715F84D">
      <w:pPr>
        <w:numPr>
          <w:ilvl w:val="0"/>
          <w:numId w:val="29"/>
        </w:numPr>
        <w:tabs>
          <w:tab w:val="left" w:pos="851"/>
        </w:tabs>
        <w:adjustRightInd w:val="0"/>
        <w:snapToGrid w:val="0"/>
        <w:spacing w:line="360" w:lineRule="auto"/>
        <w:ind w:left="851" w:hanging="494"/>
        <w:rPr>
          <w:rFonts w:ascii="宋体" w:hAnsi="宋体"/>
          <w:sz w:val="24"/>
          <w:szCs w:val="22"/>
        </w:rPr>
      </w:pPr>
      <w:r>
        <w:rPr>
          <w:rFonts w:hint="eastAsia" w:ascii="宋体" w:hAnsi="宋体"/>
          <w:sz w:val="24"/>
          <w:szCs w:val="22"/>
        </w:rPr>
        <w:t>根据政府采购相关法律及采购文件的规定与中标（成交）供应商签订书面采购合同，同时应当核查中标（成交）供应商提供的中标（成交）通知书原件。</w:t>
      </w:r>
    </w:p>
    <w:p w14:paraId="27F68C3C">
      <w:pPr>
        <w:numPr>
          <w:ilvl w:val="0"/>
          <w:numId w:val="29"/>
        </w:numPr>
        <w:tabs>
          <w:tab w:val="left" w:pos="851"/>
        </w:tabs>
        <w:adjustRightInd w:val="0"/>
        <w:snapToGrid w:val="0"/>
        <w:spacing w:line="360" w:lineRule="auto"/>
        <w:ind w:left="851" w:hanging="494"/>
        <w:rPr>
          <w:rFonts w:hint="eastAsia" w:ascii="宋体" w:hAnsi="宋体" w:eastAsia="宋体"/>
          <w:sz w:val="24"/>
          <w:szCs w:val="22"/>
        </w:rPr>
      </w:pPr>
      <w:r>
        <w:rPr>
          <w:rFonts w:hint="eastAsia" w:ascii="宋体" w:hAnsi="宋体" w:eastAsia="宋体"/>
          <w:sz w:val="24"/>
          <w:szCs w:val="22"/>
        </w:rPr>
        <w:t>甲方在采购过程中提出项目变更或项目终止的，由此可能产生的法律责任，由甲方自行承担。</w:t>
      </w:r>
    </w:p>
    <w:p w14:paraId="1407397E">
      <w:pPr>
        <w:numPr>
          <w:ilvl w:val="0"/>
          <w:numId w:val="29"/>
        </w:numPr>
        <w:tabs>
          <w:tab w:val="left" w:pos="851"/>
        </w:tabs>
        <w:adjustRightInd w:val="0"/>
        <w:snapToGrid w:val="0"/>
        <w:spacing w:line="360" w:lineRule="auto"/>
        <w:ind w:left="851" w:hanging="494"/>
        <w:rPr>
          <w:rFonts w:hint="eastAsia" w:ascii="宋体" w:hAnsi="宋体" w:eastAsia="宋体"/>
          <w:sz w:val="24"/>
          <w:szCs w:val="22"/>
        </w:rPr>
      </w:pPr>
      <w:r>
        <w:rPr>
          <w:rFonts w:hint="eastAsia" w:ascii="宋体" w:hAnsi="宋体" w:eastAsia="宋体"/>
          <w:sz w:val="24"/>
          <w:szCs w:val="22"/>
        </w:rPr>
        <w:t>乙方如遇政策调整不再属于深圳市财政部门批准的入围政府采购招标代理机构，甲方有权解除合同。</w:t>
      </w:r>
    </w:p>
    <w:p w14:paraId="0D2FA01A">
      <w:pPr>
        <w:numPr>
          <w:ilvl w:val="0"/>
          <w:numId w:val="29"/>
        </w:numPr>
        <w:tabs>
          <w:tab w:val="left" w:pos="851"/>
        </w:tabs>
        <w:adjustRightInd w:val="0"/>
        <w:snapToGrid w:val="0"/>
        <w:spacing w:line="360" w:lineRule="auto"/>
        <w:ind w:left="851" w:hanging="494"/>
        <w:rPr>
          <w:rFonts w:hint="eastAsia" w:ascii="宋体" w:hAnsi="宋体" w:eastAsia="宋体"/>
          <w:sz w:val="24"/>
          <w:szCs w:val="22"/>
        </w:rPr>
      </w:pPr>
      <w:r>
        <w:rPr>
          <w:rFonts w:hint="eastAsia" w:ascii="宋体" w:hAnsi="宋体" w:eastAsia="宋体"/>
          <w:sz w:val="24"/>
          <w:szCs w:val="22"/>
        </w:rPr>
        <w:t>按照政府采购管理的规定妥善保管本项目的有关文件。</w:t>
      </w:r>
    </w:p>
    <w:p w14:paraId="405EB008">
      <w:pPr>
        <w:adjustRightInd w:val="0"/>
        <w:snapToGrid w:val="0"/>
        <w:spacing w:line="360" w:lineRule="auto"/>
        <w:ind w:firstLine="354" w:firstLineChars="147"/>
        <w:outlineLvl w:val="0"/>
        <w:rPr>
          <w:rFonts w:ascii="宋体" w:hAnsi="宋体"/>
          <w:b/>
          <w:bCs/>
          <w:sz w:val="24"/>
          <w:szCs w:val="22"/>
        </w:rPr>
      </w:pPr>
      <w:bookmarkStart w:id="228" w:name="_Toc1234245783"/>
      <w:bookmarkStart w:id="229" w:name="_Toc1558910846"/>
      <w:bookmarkStart w:id="230" w:name="_Toc1821149835"/>
      <w:r>
        <w:rPr>
          <w:rFonts w:hint="eastAsia" w:ascii="宋体" w:hAnsi="宋体"/>
          <w:b/>
          <w:bCs/>
          <w:sz w:val="24"/>
          <w:szCs w:val="22"/>
        </w:rPr>
        <w:t>（二）乙方的权利和义务</w:t>
      </w:r>
      <w:bookmarkEnd w:id="228"/>
      <w:bookmarkEnd w:id="229"/>
      <w:bookmarkEnd w:id="230"/>
    </w:p>
    <w:p w14:paraId="6349522F">
      <w:pPr>
        <w:tabs>
          <w:tab w:val="left" w:pos="1080"/>
        </w:tabs>
        <w:spacing w:line="360" w:lineRule="auto"/>
        <w:ind w:left="279" w:leftChars="133" w:firstLine="480" w:firstLineChars="200"/>
        <w:rPr>
          <w:rFonts w:ascii="宋体" w:hAnsi="宋体"/>
          <w:sz w:val="24"/>
          <w:szCs w:val="22"/>
        </w:rPr>
      </w:pPr>
      <w:r>
        <w:rPr>
          <w:rFonts w:hint="eastAsia" w:ascii="宋体" w:hAnsi="宋体"/>
          <w:sz w:val="24"/>
          <w:szCs w:val="22"/>
        </w:rPr>
        <w:t>遵守《中华人民共和国政府采购法》关于“采购代理机构”的有关规定，在处理与本协议有关的一切事务中，严格遵守国家和地方的法律法规，自觉接受监督管理部门的监督管理，维护甲方的合法权益。运用自身的专业技能为甲方做好采购代理工作，确保招标过程的“公开、公平、公正”。</w:t>
      </w:r>
    </w:p>
    <w:p w14:paraId="76151C3F">
      <w:pPr>
        <w:numPr>
          <w:ilvl w:val="0"/>
          <w:numId w:val="30"/>
        </w:numPr>
        <w:adjustRightInd w:val="0"/>
        <w:snapToGrid w:val="0"/>
        <w:spacing w:line="360" w:lineRule="auto"/>
        <w:ind w:left="850" w:hanging="442"/>
        <w:rPr>
          <w:rFonts w:ascii="宋体" w:hAnsi="宋体"/>
          <w:sz w:val="24"/>
          <w:szCs w:val="22"/>
        </w:rPr>
      </w:pPr>
      <w:r>
        <w:rPr>
          <w:rFonts w:hint="eastAsia" w:ascii="宋体" w:hAnsi="宋体"/>
          <w:sz w:val="24"/>
          <w:szCs w:val="22"/>
        </w:rPr>
        <w:t>在接收甲方交付的项目资料后，应当根据采购项目的特点和采购需求，在三个工作日内完成采购文件初稿的编制</w:t>
      </w:r>
      <w:r>
        <w:rPr>
          <w:rFonts w:hint="eastAsia" w:ascii="Calibri" w:hAnsi="Calibri"/>
          <w:sz w:val="24"/>
          <w:szCs w:val="22"/>
        </w:rPr>
        <w:t>，并报甲方书面确认</w:t>
      </w:r>
      <w:r>
        <w:rPr>
          <w:rFonts w:hint="eastAsia" w:ascii="宋体" w:hAnsi="宋体"/>
          <w:sz w:val="24"/>
          <w:szCs w:val="22"/>
        </w:rPr>
        <w:t>。公开招标的采购项目，乙方自采购文件确认之日起二十五日内，向中标供应商发出中标通知书；非公开招标的采购项目，乙方应当自采购文件确认之日起二十日内，向成交供应商发出成交通知书。特殊情况需要延长的，经甲方批准，可以延长十日。</w:t>
      </w:r>
    </w:p>
    <w:p w14:paraId="7018AA3B">
      <w:pPr>
        <w:numPr>
          <w:ilvl w:val="0"/>
          <w:numId w:val="30"/>
        </w:numPr>
        <w:adjustRightInd w:val="0"/>
        <w:snapToGrid w:val="0"/>
        <w:spacing w:line="360" w:lineRule="auto"/>
        <w:ind w:left="850" w:hanging="442"/>
        <w:rPr>
          <w:rFonts w:ascii="宋体" w:hAnsi="宋体"/>
          <w:sz w:val="24"/>
          <w:szCs w:val="22"/>
        </w:rPr>
      </w:pPr>
      <w:r>
        <w:rPr>
          <w:rFonts w:hint="eastAsia" w:ascii="宋体" w:hAnsi="宋体"/>
          <w:sz w:val="24"/>
          <w:szCs w:val="22"/>
        </w:rPr>
        <w:t>在政府采购法定媒体及代理机构网站发布采购信息公告（或发出投标邀请函）。</w:t>
      </w:r>
    </w:p>
    <w:p w14:paraId="33647FEB">
      <w:pPr>
        <w:numPr>
          <w:ilvl w:val="0"/>
          <w:numId w:val="30"/>
        </w:numPr>
        <w:adjustRightInd w:val="0"/>
        <w:snapToGrid w:val="0"/>
        <w:spacing w:line="360" w:lineRule="auto"/>
        <w:ind w:left="850" w:hanging="442"/>
        <w:rPr>
          <w:rFonts w:ascii="宋体" w:hAnsi="宋体"/>
          <w:sz w:val="24"/>
          <w:szCs w:val="22"/>
        </w:rPr>
      </w:pPr>
      <w:r>
        <w:rPr>
          <w:rFonts w:hint="eastAsia" w:ascii="宋体" w:hAnsi="宋体"/>
          <w:sz w:val="24"/>
          <w:szCs w:val="22"/>
        </w:rPr>
        <w:t>组织供应商资格预审（如有）。</w:t>
      </w:r>
    </w:p>
    <w:p w14:paraId="7ED28E44">
      <w:pPr>
        <w:numPr>
          <w:ilvl w:val="0"/>
          <w:numId w:val="30"/>
        </w:numPr>
        <w:adjustRightInd w:val="0"/>
        <w:snapToGrid w:val="0"/>
        <w:spacing w:line="360" w:lineRule="auto"/>
        <w:ind w:left="850" w:hanging="442"/>
        <w:rPr>
          <w:rFonts w:ascii="宋体" w:hAnsi="宋体"/>
          <w:sz w:val="24"/>
          <w:szCs w:val="22"/>
        </w:rPr>
      </w:pPr>
      <w:r>
        <w:rPr>
          <w:rFonts w:hint="eastAsia" w:ascii="宋体" w:hAnsi="宋体"/>
          <w:sz w:val="24"/>
          <w:szCs w:val="22"/>
        </w:rPr>
        <w:t>组织报名登记工作，向投标人发售采购文件，发放由甲方确认的项目图纸及相关资料（如有）。</w:t>
      </w:r>
    </w:p>
    <w:p w14:paraId="4B98339D">
      <w:pPr>
        <w:numPr>
          <w:ilvl w:val="0"/>
          <w:numId w:val="30"/>
        </w:numPr>
        <w:adjustRightInd w:val="0"/>
        <w:snapToGrid w:val="0"/>
        <w:spacing w:line="360" w:lineRule="auto"/>
        <w:ind w:left="850" w:hanging="442"/>
        <w:rPr>
          <w:rFonts w:ascii="宋体" w:hAnsi="宋体"/>
          <w:sz w:val="24"/>
          <w:szCs w:val="22"/>
        </w:rPr>
      </w:pPr>
      <w:r>
        <w:rPr>
          <w:rFonts w:hint="eastAsia" w:ascii="宋体" w:hAnsi="宋体"/>
          <w:sz w:val="24"/>
          <w:szCs w:val="22"/>
        </w:rPr>
        <w:t>接收甲方的澄清要求，发布更正/变更公告，并书面通知所有获取采购文件的潜在投标人（如有）。</w:t>
      </w:r>
    </w:p>
    <w:p w14:paraId="01F2C540">
      <w:pPr>
        <w:numPr>
          <w:ilvl w:val="0"/>
          <w:numId w:val="30"/>
        </w:numPr>
        <w:adjustRightInd w:val="0"/>
        <w:snapToGrid w:val="0"/>
        <w:spacing w:line="360" w:lineRule="auto"/>
        <w:ind w:left="850" w:hanging="442"/>
        <w:rPr>
          <w:rFonts w:ascii="宋体" w:hAnsi="宋体"/>
          <w:sz w:val="24"/>
          <w:szCs w:val="22"/>
        </w:rPr>
      </w:pPr>
      <w:r>
        <w:rPr>
          <w:rFonts w:hint="eastAsia" w:ascii="宋体" w:hAnsi="宋体"/>
          <w:sz w:val="24"/>
          <w:szCs w:val="22"/>
        </w:rPr>
        <w:t>组织标前答疑会或进行书面答疑，负责整理答疑资料，答疑纪要公告作为采购文件的组成部分，并书面通知所有获取采购文件的潜在投标人（如有）。</w:t>
      </w:r>
    </w:p>
    <w:p w14:paraId="25E5A73A">
      <w:pPr>
        <w:numPr>
          <w:ilvl w:val="0"/>
          <w:numId w:val="30"/>
        </w:numPr>
        <w:tabs>
          <w:tab w:val="left" w:pos="896"/>
        </w:tabs>
        <w:adjustRightInd w:val="0"/>
        <w:snapToGrid w:val="0"/>
        <w:spacing w:line="360" w:lineRule="auto"/>
        <w:ind w:left="882" w:hanging="476"/>
        <w:rPr>
          <w:rFonts w:ascii="宋体" w:hAnsi="宋体"/>
          <w:sz w:val="24"/>
          <w:szCs w:val="22"/>
        </w:rPr>
      </w:pPr>
      <w:r>
        <w:rPr>
          <w:rFonts w:hint="eastAsia" w:ascii="宋体" w:hAnsi="宋体"/>
          <w:bCs/>
          <w:sz w:val="24"/>
          <w:szCs w:val="22"/>
        </w:rPr>
        <w:t>按照招标文件要求接收</w:t>
      </w:r>
      <w:r>
        <w:rPr>
          <w:rFonts w:hint="eastAsia" w:ascii="宋体" w:hAnsi="宋体"/>
          <w:sz w:val="24"/>
          <w:szCs w:val="22"/>
        </w:rPr>
        <w:t>投标人的投标文件，组织并主持开标会议、评标会议，并向甲方提交评审委员会出具的评审报告，按照政府采购规定编制并发布中标、成交结果公告。</w:t>
      </w:r>
    </w:p>
    <w:p w14:paraId="175AE9B2">
      <w:pPr>
        <w:numPr>
          <w:ilvl w:val="0"/>
          <w:numId w:val="30"/>
        </w:numPr>
        <w:tabs>
          <w:tab w:val="left" w:pos="896"/>
        </w:tabs>
        <w:adjustRightInd w:val="0"/>
        <w:snapToGrid w:val="0"/>
        <w:spacing w:line="360" w:lineRule="auto"/>
        <w:ind w:left="882" w:hanging="476"/>
        <w:rPr>
          <w:rFonts w:ascii="宋体" w:hAnsi="宋体"/>
          <w:sz w:val="24"/>
          <w:szCs w:val="22"/>
        </w:rPr>
      </w:pPr>
      <w:r>
        <w:rPr>
          <w:rFonts w:hint="eastAsia" w:ascii="宋体" w:hAnsi="宋体"/>
          <w:sz w:val="24"/>
          <w:szCs w:val="22"/>
        </w:rPr>
        <w:t>按照政府采购规定编制并发布中标、成交结果公告。同时向中标（成交）供应商发出《中标/成交通知书》，向甲方及未中标（成交）供应商发出《招标结果通知书》。</w:t>
      </w:r>
    </w:p>
    <w:p w14:paraId="0A5F89E0">
      <w:pPr>
        <w:numPr>
          <w:ilvl w:val="0"/>
          <w:numId w:val="30"/>
        </w:numPr>
        <w:tabs>
          <w:tab w:val="left" w:pos="896"/>
        </w:tabs>
        <w:adjustRightInd w:val="0"/>
        <w:snapToGrid w:val="0"/>
        <w:spacing w:line="360" w:lineRule="auto"/>
        <w:ind w:left="882" w:hanging="476"/>
        <w:rPr>
          <w:rFonts w:ascii="宋体" w:hAnsi="宋体"/>
          <w:sz w:val="24"/>
          <w:szCs w:val="22"/>
        </w:rPr>
      </w:pPr>
      <w:r>
        <w:rPr>
          <w:rFonts w:hint="eastAsia" w:ascii="宋体" w:hAnsi="宋体"/>
          <w:bCs/>
          <w:sz w:val="24"/>
          <w:szCs w:val="22"/>
        </w:rPr>
        <w:t>汇编</w:t>
      </w:r>
      <w:r>
        <w:rPr>
          <w:rFonts w:hint="eastAsia" w:ascii="宋体" w:hAnsi="宋体"/>
          <w:sz w:val="24"/>
          <w:szCs w:val="22"/>
        </w:rPr>
        <w:t>采购项目活动记录即项目汇总文件（相关开标及评审活动应当全程录音录像，录音录像应当清晰可辨）。</w:t>
      </w:r>
    </w:p>
    <w:p w14:paraId="4987EBBF">
      <w:pPr>
        <w:numPr>
          <w:ilvl w:val="0"/>
          <w:numId w:val="30"/>
        </w:numPr>
        <w:tabs>
          <w:tab w:val="left" w:pos="900"/>
        </w:tabs>
        <w:adjustRightInd w:val="0"/>
        <w:snapToGrid w:val="0"/>
        <w:spacing w:line="360" w:lineRule="auto"/>
        <w:ind w:left="850" w:hanging="442"/>
        <w:rPr>
          <w:rFonts w:ascii="宋体" w:hAnsi="宋体"/>
          <w:sz w:val="24"/>
          <w:szCs w:val="22"/>
        </w:rPr>
      </w:pPr>
      <w:r>
        <w:rPr>
          <w:rFonts w:hint="eastAsia" w:ascii="宋体" w:hAnsi="宋体"/>
          <w:sz w:val="24"/>
          <w:szCs w:val="22"/>
        </w:rPr>
        <w:t>按照政府采购规定保存采购文件、投标人的投标文件、项目汇总文件等项目资料。</w:t>
      </w:r>
    </w:p>
    <w:p w14:paraId="240ABBD1">
      <w:pPr>
        <w:numPr>
          <w:ilvl w:val="0"/>
          <w:numId w:val="30"/>
        </w:numPr>
        <w:tabs>
          <w:tab w:val="left" w:pos="896"/>
        </w:tabs>
        <w:adjustRightInd w:val="0"/>
        <w:snapToGrid w:val="0"/>
        <w:spacing w:line="360" w:lineRule="auto"/>
        <w:ind w:left="882" w:hanging="476"/>
        <w:rPr>
          <w:rFonts w:ascii="宋体" w:hAnsi="宋体"/>
          <w:sz w:val="24"/>
          <w:szCs w:val="22"/>
        </w:rPr>
      </w:pPr>
      <w:r>
        <w:rPr>
          <w:rFonts w:hint="eastAsia" w:ascii="宋体" w:hAnsi="宋体"/>
          <w:sz w:val="24"/>
          <w:szCs w:val="22"/>
        </w:rPr>
        <w:t>不得向协议以外的单位和个人提供本次采购项目的有关情况和资料。</w:t>
      </w:r>
    </w:p>
    <w:p w14:paraId="6295B4FD">
      <w:pPr>
        <w:numPr>
          <w:ilvl w:val="0"/>
          <w:numId w:val="30"/>
        </w:numPr>
        <w:tabs>
          <w:tab w:val="left" w:pos="896"/>
        </w:tabs>
        <w:adjustRightInd w:val="0"/>
        <w:snapToGrid w:val="0"/>
        <w:spacing w:line="360" w:lineRule="auto"/>
        <w:ind w:left="882" w:hanging="476"/>
        <w:rPr>
          <w:rFonts w:ascii="宋体" w:hAnsi="宋体"/>
          <w:sz w:val="24"/>
          <w:szCs w:val="22"/>
        </w:rPr>
      </w:pPr>
      <w:r>
        <w:rPr>
          <w:rFonts w:hint="eastAsia" w:ascii="宋体" w:hAnsi="宋体"/>
          <w:sz w:val="24"/>
          <w:szCs w:val="22"/>
        </w:rPr>
        <w:t>及时与甲方协调解决招标采购实施过程中出现的问题。负责答复投标人依法提出关于采购文件(除采购需求外)、采购过程、中标/成交结果方面的询问或者质疑，协助监督管理部门处理供应商的投诉事宜。</w:t>
      </w:r>
    </w:p>
    <w:p w14:paraId="08A4F0C0">
      <w:pPr>
        <w:numPr>
          <w:ilvl w:val="0"/>
          <w:numId w:val="30"/>
        </w:numPr>
        <w:tabs>
          <w:tab w:val="left" w:pos="896"/>
        </w:tabs>
        <w:adjustRightInd w:val="0"/>
        <w:snapToGrid w:val="0"/>
        <w:spacing w:line="360" w:lineRule="auto"/>
        <w:ind w:left="882" w:hanging="476"/>
        <w:rPr>
          <w:rFonts w:ascii="宋体" w:hAnsi="宋体"/>
          <w:sz w:val="24"/>
          <w:szCs w:val="22"/>
        </w:rPr>
      </w:pPr>
      <w:r>
        <w:rPr>
          <w:rFonts w:hint="eastAsia" w:ascii="宋体" w:hAnsi="宋体"/>
          <w:sz w:val="24"/>
          <w:szCs w:val="22"/>
        </w:rPr>
        <w:t>在授权范围内为委托方提供招标代理服务，不得将本合同所确定的招标代理服务转让给第三方。</w:t>
      </w:r>
    </w:p>
    <w:p w14:paraId="509EAC00">
      <w:pPr>
        <w:numPr>
          <w:ilvl w:val="0"/>
          <w:numId w:val="26"/>
        </w:numPr>
        <w:adjustRightInd w:val="0"/>
        <w:snapToGrid w:val="0"/>
        <w:spacing w:line="360" w:lineRule="auto"/>
        <w:ind w:left="554" w:hanging="554" w:hangingChars="230"/>
        <w:outlineLvl w:val="0"/>
        <w:rPr>
          <w:rFonts w:ascii="宋体" w:hAnsi="宋体"/>
          <w:b/>
          <w:bCs/>
          <w:sz w:val="24"/>
          <w:szCs w:val="22"/>
        </w:rPr>
      </w:pPr>
      <w:bookmarkStart w:id="231" w:name="_Toc589060092"/>
      <w:bookmarkStart w:id="232" w:name="_Toc825437525"/>
      <w:bookmarkStart w:id="233" w:name="_Toc548659073"/>
      <w:r>
        <w:rPr>
          <w:rFonts w:hint="eastAsia" w:ascii="宋体" w:hAnsi="宋体"/>
          <w:b/>
          <w:bCs/>
          <w:sz w:val="24"/>
          <w:szCs w:val="22"/>
        </w:rPr>
        <w:t>保密约定</w:t>
      </w:r>
      <w:bookmarkEnd w:id="231"/>
      <w:bookmarkEnd w:id="232"/>
      <w:bookmarkEnd w:id="233"/>
    </w:p>
    <w:p w14:paraId="7D7435EF">
      <w:pPr>
        <w:numPr>
          <w:ilvl w:val="0"/>
          <w:numId w:val="31"/>
        </w:numPr>
        <w:adjustRightInd w:val="0"/>
        <w:snapToGrid w:val="0"/>
        <w:spacing w:line="360" w:lineRule="auto"/>
        <w:rPr>
          <w:rFonts w:ascii="宋体" w:hAnsi="宋体"/>
          <w:sz w:val="24"/>
          <w:szCs w:val="22"/>
        </w:rPr>
      </w:pPr>
      <w:r>
        <w:rPr>
          <w:rFonts w:hint="eastAsia" w:ascii="宋体" w:hAnsi="宋体"/>
          <w:sz w:val="24"/>
          <w:szCs w:val="22"/>
        </w:rPr>
        <w:t>在招标采购的全过程中，双方人员都应自觉遵守保密约定，以维护招标采购工作的公正、公平，保证招标采购工作的正常进行和完成；</w:t>
      </w:r>
    </w:p>
    <w:p w14:paraId="3DED6340">
      <w:pPr>
        <w:numPr>
          <w:ilvl w:val="0"/>
          <w:numId w:val="31"/>
        </w:numPr>
        <w:adjustRightInd w:val="0"/>
        <w:snapToGrid w:val="0"/>
        <w:spacing w:line="360" w:lineRule="auto"/>
        <w:rPr>
          <w:rFonts w:ascii="宋体" w:hAnsi="宋体"/>
          <w:sz w:val="24"/>
          <w:szCs w:val="22"/>
        </w:rPr>
      </w:pPr>
      <w:r>
        <w:rPr>
          <w:rFonts w:hint="eastAsia" w:ascii="宋体" w:hAnsi="宋体"/>
          <w:sz w:val="24"/>
          <w:szCs w:val="22"/>
        </w:rPr>
        <w:t>招标采购期间，各方不得向无关人员，尤其是向供应商透露招标采购工作的内部秘密，如：投标人的名称、</w:t>
      </w:r>
      <w:r>
        <w:rPr>
          <w:rFonts w:hint="eastAsia" w:ascii="Calibri" w:hAnsi="Calibri"/>
          <w:sz w:val="24"/>
          <w:szCs w:val="22"/>
        </w:rPr>
        <w:t>数量</w:t>
      </w:r>
      <w:r>
        <w:rPr>
          <w:rFonts w:hint="eastAsia" w:ascii="宋体" w:hAnsi="宋体"/>
          <w:sz w:val="24"/>
          <w:szCs w:val="22"/>
        </w:rPr>
        <w:t>、以及与招标投标有关的重要情况；</w:t>
      </w:r>
    </w:p>
    <w:p w14:paraId="5C794943">
      <w:pPr>
        <w:numPr>
          <w:ilvl w:val="0"/>
          <w:numId w:val="31"/>
        </w:numPr>
        <w:adjustRightInd w:val="0"/>
        <w:snapToGrid w:val="0"/>
        <w:spacing w:line="360" w:lineRule="auto"/>
        <w:rPr>
          <w:rFonts w:ascii="宋体" w:hAnsi="宋体"/>
          <w:sz w:val="24"/>
          <w:szCs w:val="22"/>
        </w:rPr>
      </w:pPr>
      <w:r>
        <w:rPr>
          <w:rFonts w:hint="eastAsia" w:ascii="宋体" w:hAnsi="宋体"/>
          <w:sz w:val="24"/>
          <w:szCs w:val="22"/>
        </w:rPr>
        <w:t>双方人员应对评审过程和未公告的评审结果保密；</w:t>
      </w:r>
    </w:p>
    <w:p w14:paraId="250F033C">
      <w:pPr>
        <w:numPr>
          <w:ilvl w:val="0"/>
          <w:numId w:val="31"/>
        </w:numPr>
        <w:adjustRightInd w:val="0"/>
        <w:snapToGrid w:val="0"/>
        <w:spacing w:line="360" w:lineRule="auto"/>
        <w:rPr>
          <w:rFonts w:ascii="宋体" w:hAnsi="宋体"/>
          <w:sz w:val="24"/>
          <w:szCs w:val="22"/>
        </w:rPr>
      </w:pPr>
      <w:r>
        <w:rPr>
          <w:rFonts w:hint="eastAsia" w:ascii="宋体" w:hAnsi="宋体"/>
          <w:sz w:val="24"/>
          <w:szCs w:val="22"/>
        </w:rPr>
        <w:t>任何一方不应私自与投标人就本投标内容进行单方接触或谈判。因工作需要或业务目的的任何对外活动均应事前、事后互相知会和沟通；</w:t>
      </w:r>
    </w:p>
    <w:p w14:paraId="641C78B3">
      <w:pPr>
        <w:numPr>
          <w:ilvl w:val="0"/>
          <w:numId w:val="31"/>
        </w:numPr>
        <w:adjustRightInd w:val="0"/>
        <w:snapToGrid w:val="0"/>
        <w:spacing w:line="360" w:lineRule="auto"/>
        <w:rPr>
          <w:rFonts w:ascii="宋体" w:hAnsi="宋体"/>
          <w:sz w:val="24"/>
          <w:szCs w:val="22"/>
        </w:rPr>
      </w:pPr>
      <w:r>
        <w:rPr>
          <w:rFonts w:hint="eastAsia" w:ascii="宋体" w:hAnsi="宋体"/>
          <w:sz w:val="24"/>
          <w:szCs w:val="22"/>
        </w:rPr>
        <w:t>凡因单方泄漏情况而导致工作不能顺利进行或无法进行，均视为对项目和对方利益的侵害，责任应由泄密方承担。</w:t>
      </w:r>
    </w:p>
    <w:p w14:paraId="1E89BA85">
      <w:pPr>
        <w:numPr>
          <w:ilvl w:val="0"/>
          <w:numId w:val="26"/>
        </w:numPr>
        <w:adjustRightInd w:val="0"/>
        <w:snapToGrid w:val="0"/>
        <w:spacing w:line="360" w:lineRule="auto"/>
        <w:ind w:left="554" w:hanging="554" w:hangingChars="230"/>
        <w:outlineLvl w:val="0"/>
        <w:rPr>
          <w:rFonts w:ascii="宋体" w:hAnsi="宋体"/>
          <w:b/>
          <w:bCs/>
          <w:sz w:val="24"/>
          <w:szCs w:val="22"/>
        </w:rPr>
      </w:pPr>
      <w:bookmarkStart w:id="234" w:name="_Toc2117920950"/>
      <w:bookmarkStart w:id="235" w:name="_Toc1018740401"/>
      <w:bookmarkStart w:id="236" w:name="_Toc1574399530"/>
      <w:r>
        <w:rPr>
          <w:rFonts w:hint="eastAsia" w:ascii="宋体" w:hAnsi="宋体"/>
          <w:b/>
          <w:bCs/>
          <w:sz w:val="24"/>
          <w:szCs w:val="22"/>
        </w:rPr>
        <w:t>收费标准</w:t>
      </w:r>
      <w:bookmarkEnd w:id="234"/>
      <w:bookmarkEnd w:id="235"/>
      <w:bookmarkEnd w:id="236"/>
    </w:p>
    <w:p w14:paraId="30FE3671">
      <w:pPr>
        <w:numPr>
          <w:ilvl w:val="0"/>
          <w:numId w:val="32"/>
        </w:numPr>
        <w:adjustRightInd w:val="0"/>
        <w:snapToGrid w:val="0"/>
        <w:spacing w:line="360" w:lineRule="auto"/>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乙方向采购代理项目的中标人按以下标准收取代理服务费：</w:t>
      </w:r>
    </w:p>
    <w:p w14:paraId="519006C9">
      <w:pPr>
        <w:numPr>
          <w:ilvl w:val="0"/>
          <w:numId w:val="33"/>
        </w:numPr>
        <w:adjustRightInd w:val="0"/>
        <w:snapToGrid w:val="0"/>
        <w:spacing w:line="360" w:lineRule="auto"/>
        <w:ind w:left="850" w:leftChars="229" w:hanging="369" w:hangingChars="154"/>
        <w:rPr>
          <w:rFonts w:hint="eastAsia" w:ascii="宋体" w:hAnsi="宋体"/>
          <w:color w:val="000000" w:themeColor="text1"/>
          <w:kern w:val="0"/>
          <w:sz w:val="24"/>
          <w:szCs w:val="22"/>
          <w:lang w:val="en-US" w:eastAsia="zh-CN"/>
          <w14:textFill>
            <w14:solidFill>
              <w14:schemeClr w14:val="tx1"/>
            </w14:solidFill>
          </w14:textFill>
        </w:rPr>
      </w:pPr>
      <w:r>
        <w:rPr>
          <w:rFonts w:hint="eastAsia" w:ascii="宋体" w:hAnsi="宋体"/>
          <w:color w:val="000000" w:themeColor="text1"/>
          <w:kern w:val="0"/>
          <w:sz w:val="24"/>
          <w:szCs w:val="22"/>
          <w:lang w:val="en-US" w:eastAsia="zh-CN"/>
          <w14:textFill>
            <w14:solidFill>
              <w14:schemeClr w14:val="tx1"/>
            </w14:solidFill>
          </w14:textFill>
        </w:rPr>
        <w:t>招标代理机构向中标人收取招标代理服务费，以采购项目中标金额为基准，按照差额累进法计算代理服务费，计费依据为：投标人所报折扣率（%）及最低收费标准、《招标代理服务收费管理暂行办法 》（计价格〔2002〕1980号）、《国家发展改革委办公厅关于招标代理服务收费有关问题的通知》（发改办价格〔2003〕857号）和《国家发展改革委关于降低部分建设项目收费标准规范收费行为等有关问题的通知》（发改价格〔2011〕534号）</w:t>
      </w:r>
    </w:p>
    <w:p w14:paraId="375ACD96">
      <w:pPr>
        <w:numPr>
          <w:ilvl w:val="0"/>
          <w:numId w:val="33"/>
        </w:numPr>
        <w:adjustRightInd w:val="0"/>
        <w:snapToGrid w:val="0"/>
        <w:spacing w:line="360" w:lineRule="auto"/>
        <w:ind w:left="850" w:leftChars="229" w:hanging="369" w:hangingChars="154"/>
        <w:rPr>
          <w:rFonts w:ascii="宋体" w:hAnsi="宋体"/>
          <w:color w:val="000000" w:themeColor="text1"/>
          <w:kern w:val="0"/>
          <w:sz w:val="24"/>
          <w:szCs w:val="22"/>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资格标以采购预算金额为计费标准，不涉及采购预算金额的，双方协商后以招标文件约定为准。</w:t>
      </w:r>
    </w:p>
    <w:p w14:paraId="5AB7A76F">
      <w:pPr>
        <w:numPr>
          <w:ilvl w:val="0"/>
          <w:numId w:val="26"/>
        </w:numPr>
        <w:adjustRightInd w:val="0"/>
        <w:snapToGrid w:val="0"/>
        <w:spacing w:line="360" w:lineRule="auto"/>
        <w:ind w:left="554" w:hanging="554" w:hangingChars="230"/>
        <w:outlineLvl w:val="0"/>
        <w:rPr>
          <w:rFonts w:ascii="宋体" w:hAnsi="宋体"/>
          <w:b/>
          <w:bCs/>
          <w:sz w:val="24"/>
          <w:szCs w:val="22"/>
        </w:rPr>
      </w:pPr>
      <w:bookmarkStart w:id="237" w:name="_Toc1614396758"/>
      <w:bookmarkStart w:id="238" w:name="_Toc1139339566"/>
      <w:bookmarkStart w:id="239" w:name="_Toc2011140638"/>
      <w:r>
        <w:rPr>
          <w:rFonts w:hint="eastAsia" w:ascii="宋体" w:hAnsi="宋体"/>
          <w:b/>
          <w:bCs/>
          <w:sz w:val="24"/>
          <w:szCs w:val="22"/>
        </w:rPr>
        <w:t>争议解决与违约责任</w:t>
      </w:r>
      <w:bookmarkEnd w:id="237"/>
      <w:bookmarkEnd w:id="238"/>
      <w:bookmarkEnd w:id="239"/>
    </w:p>
    <w:p w14:paraId="31A1517B">
      <w:pPr>
        <w:numPr>
          <w:ilvl w:val="0"/>
          <w:numId w:val="34"/>
        </w:numPr>
        <w:adjustRightInd w:val="0"/>
        <w:snapToGrid w:val="0"/>
        <w:spacing w:line="360" w:lineRule="auto"/>
        <w:rPr>
          <w:rFonts w:ascii="宋体" w:hAnsi="宋体"/>
          <w:sz w:val="24"/>
          <w:szCs w:val="22"/>
        </w:rPr>
      </w:pPr>
      <w:r>
        <w:rPr>
          <w:rFonts w:hint="eastAsia" w:ascii="宋体" w:hAnsi="宋体"/>
          <w:sz w:val="24"/>
          <w:szCs w:val="22"/>
        </w:rPr>
        <w:t>因履行本协议所发生的争议或纠纷，双方应通过友好协商解决，协商不成的，双方可向</w:t>
      </w:r>
      <w:r>
        <w:rPr>
          <w:rFonts w:hint="default" w:ascii="宋体" w:hAnsi="宋体"/>
          <w:sz w:val="24"/>
          <w:szCs w:val="22"/>
          <w:lang w:val="en"/>
        </w:rPr>
        <w:t>甲方所在地人民</w:t>
      </w:r>
      <w:r>
        <w:rPr>
          <w:rFonts w:hint="eastAsia" w:ascii="宋体" w:hAnsi="宋体"/>
          <w:sz w:val="24"/>
          <w:szCs w:val="22"/>
        </w:rPr>
        <w:t>法院提起诉讼。</w:t>
      </w:r>
    </w:p>
    <w:p w14:paraId="1912862B">
      <w:pPr>
        <w:numPr>
          <w:ilvl w:val="0"/>
          <w:numId w:val="34"/>
        </w:numPr>
        <w:adjustRightInd w:val="0"/>
        <w:snapToGrid w:val="0"/>
        <w:spacing w:line="360" w:lineRule="auto"/>
        <w:rPr>
          <w:rFonts w:ascii="宋体" w:hAnsi="宋体"/>
          <w:sz w:val="24"/>
          <w:szCs w:val="22"/>
        </w:rPr>
      </w:pPr>
      <w:r>
        <w:rPr>
          <w:rFonts w:hint="eastAsia" w:ascii="宋体" w:hAnsi="宋体"/>
          <w:sz w:val="24"/>
          <w:szCs w:val="22"/>
        </w:rPr>
        <w:t>双方应及时通报协议执行中所发生的问题、及时磋商解决办法，由于延误造成的损失，由责任方承担。</w:t>
      </w:r>
    </w:p>
    <w:p w14:paraId="6A19A097">
      <w:pPr>
        <w:numPr>
          <w:ilvl w:val="0"/>
          <w:numId w:val="34"/>
        </w:numPr>
        <w:adjustRightInd w:val="0"/>
        <w:snapToGrid w:val="0"/>
        <w:spacing w:line="360" w:lineRule="auto"/>
        <w:rPr>
          <w:rFonts w:ascii="宋体" w:hAnsi="宋体"/>
          <w:sz w:val="24"/>
          <w:szCs w:val="22"/>
        </w:rPr>
      </w:pPr>
      <w:r>
        <w:rPr>
          <w:rFonts w:hint="eastAsia" w:ascii="宋体" w:hAnsi="宋体"/>
          <w:sz w:val="24"/>
          <w:szCs w:val="22"/>
        </w:rPr>
        <w:t>双方应共同遵守协议约定，若甲方未按照本协议约定履行义务，向乙方提供保证招标采购工作顺利完成的条件，应承担延长招标采购时间的责任。若乙方未按照本协议约定履行义务，甲方有权解除合同，乙方应当赔偿甲方因招标延误所带来的损失。</w:t>
      </w:r>
    </w:p>
    <w:p w14:paraId="277DBD76">
      <w:pPr>
        <w:adjustRightInd w:val="0"/>
        <w:snapToGrid w:val="0"/>
        <w:spacing w:line="360" w:lineRule="auto"/>
        <w:ind w:left="-483" w:leftChars="-230" w:firstLine="482" w:firstLineChars="200"/>
        <w:outlineLvl w:val="0"/>
        <w:rPr>
          <w:rFonts w:ascii="宋体" w:hAnsi="宋体"/>
          <w:b/>
          <w:bCs/>
          <w:sz w:val="24"/>
          <w:szCs w:val="22"/>
        </w:rPr>
      </w:pPr>
      <w:bookmarkStart w:id="240" w:name="_Toc1750189915"/>
      <w:bookmarkStart w:id="241" w:name="_Toc239037065"/>
      <w:bookmarkStart w:id="242" w:name="_Toc701140476"/>
      <w:r>
        <w:rPr>
          <w:rFonts w:hint="eastAsia" w:ascii="宋体" w:hAnsi="宋体"/>
          <w:b/>
          <w:bCs/>
          <w:sz w:val="24"/>
          <w:szCs w:val="22"/>
        </w:rPr>
        <w:t>七、  委托程序</w:t>
      </w:r>
      <w:bookmarkEnd w:id="240"/>
      <w:bookmarkEnd w:id="241"/>
      <w:bookmarkEnd w:id="242"/>
    </w:p>
    <w:p w14:paraId="02D726C1">
      <w:pPr>
        <w:adjustRightInd w:val="0"/>
        <w:snapToGrid w:val="0"/>
        <w:spacing w:line="360" w:lineRule="auto"/>
        <w:ind w:left="719" w:leftChars="228" w:hanging="240" w:hangingChars="100"/>
        <w:rPr>
          <w:rFonts w:ascii="宋体" w:hAnsi="宋体"/>
          <w:sz w:val="24"/>
          <w:szCs w:val="22"/>
        </w:rPr>
      </w:pPr>
      <w:r>
        <w:rPr>
          <w:rFonts w:hint="eastAsia" w:ascii="宋体" w:hAnsi="宋体"/>
          <w:sz w:val="24"/>
          <w:szCs w:val="22"/>
        </w:rPr>
        <w:t>1、根据每次的采购需求，甲方以《采购委托函》（详见附件1）的书面形式委托乙方进行招标工作，确定本次招标的控制金额、招标方式，并向乙方提供项目各项需求（详见附件2，包括采购相关技术、服务、商务等材料和要求等内容）。</w:t>
      </w:r>
    </w:p>
    <w:p w14:paraId="67E69932">
      <w:pPr>
        <w:tabs>
          <w:tab w:val="left" w:pos="764"/>
        </w:tabs>
        <w:adjustRightInd w:val="0"/>
        <w:snapToGrid w:val="0"/>
        <w:spacing w:line="360" w:lineRule="auto"/>
        <w:ind w:left="-483" w:leftChars="-230" w:firstLine="482" w:firstLineChars="200"/>
        <w:outlineLvl w:val="0"/>
        <w:rPr>
          <w:rFonts w:ascii="宋体" w:hAnsi="宋体"/>
          <w:b/>
          <w:bCs/>
          <w:sz w:val="24"/>
          <w:szCs w:val="22"/>
        </w:rPr>
      </w:pPr>
      <w:bookmarkStart w:id="243" w:name="_Toc1191321993"/>
      <w:bookmarkStart w:id="244" w:name="_Toc487177261"/>
      <w:bookmarkStart w:id="245" w:name="_Toc1035135632"/>
      <w:r>
        <w:rPr>
          <w:rFonts w:hint="eastAsia" w:ascii="宋体" w:hAnsi="宋体"/>
          <w:b/>
          <w:bCs/>
          <w:sz w:val="24"/>
          <w:szCs w:val="22"/>
        </w:rPr>
        <w:t>八、 其他</w:t>
      </w:r>
      <w:bookmarkEnd w:id="243"/>
      <w:bookmarkEnd w:id="244"/>
      <w:bookmarkEnd w:id="245"/>
    </w:p>
    <w:p w14:paraId="779A57F0">
      <w:pPr>
        <w:numPr>
          <w:ilvl w:val="0"/>
          <w:numId w:val="35"/>
        </w:numPr>
        <w:adjustRightInd w:val="0"/>
        <w:snapToGrid w:val="0"/>
        <w:spacing w:line="360" w:lineRule="auto"/>
        <w:rPr>
          <w:rFonts w:ascii="宋体" w:hAnsi="宋体"/>
          <w:sz w:val="24"/>
          <w:szCs w:val="22"/>
        </w:rPr>
      </w:pPr>
      <w:r>
        <w:rPr>
          <w:rFonts w:hint="eastAsia" w:ascii="宋体" w:hAnsi="宋体"/>
          <w:sz w:val="24"/>
          <w:szCs w:val="22"/>
        </w:rPr>
        <w:t>具体项目招标过程中，发生包括但不限于资金来源、适用法律发生变化，双方同意以具体项目所编制的招标文件载明为准。</w:t>
      </w:r>
    </w:p>
    <w:p w14:paraId="69BC8AB0">
      <w:pPr>
        <w:numPr>
          <w:ilvl w:val="0"/>
          <w:numId w:val="35"/>
        </w:numPr>
        <w:adjustRightInd w:val="0"/>
        <w:snapToGrid w:val="0"/>
        <w:spacing w:line="360" w:lineRule="auto"/>
        <w:rPr>
          <w:rFonts w:ascii="宋体" w:hAnsi="宋体"/>
          <w:sz w:val="24"/>
          <w:szCs w:val="22"/>
        </w:rPr>
      </w:pPr>
      <w:r>
        <w:rPr>
          <w:rFonts w:hint="eastAsia" w:ascii="宋体" w:hAnsi="宋体"/>
          <w:sz w:val="24"/>
          <w:szCs w:val="22"/>
        </w:rPr>
        <w:t>双方同意对本协议的未尽事宜通过协商解决，补充协议条款作为本协议的组成部分与主协议具有同等法律效力。</w:t>
      </w:r>
    </w:p>
    <w:p w14:paraId="008DC450">
      <w:pPr>
        <w:numPr>
          <w:ilvl w:val="0"/>
          <w:numId w:val="35"/>
        </w:numPr>
        <w:adjustRightInd w:val="0"/>
        <w:snapToGrid w:val="0"/>
        <w:spacing w:line="360" w:lineRule="auto"/>
        <w:rPr>
          <w:rFonts w:ascii="宋体" w:hAnsi="宋体"/>
          <w:sz w:val="24"/>
          <w:szCs w:val="22"/>
        </w:rPr>
      </w:pPr>
      <w:r>
        <w:rPr>
          <w:rFonts w:hint="eastAsia" w:ascii="宋体" w:hAnsi="宋体"/>
          <w:sz w:val="24"/>
          <w:szCs w:val="22"/>
        </w:rPr>
        <w:t>本次招标项目（或包组）实施过程中，如发生采购方式变更或采购预算变更等情况，则以采购监督管理部门的批复文件或发布的采购文件为准，不再重新签订委托协议或签订补充协议。</w:t>
      </w:r>
    </w:p>
    <w:p w14:paraId="58E44BB3">
      <w:pPr>
        <w:numPr>
          <w:ilvl w:val="0"/>
          <w:numId w:val="35"/>
        </w:numPr>
        <w:adjustRightInd w:val="0"/>
        <w:snapToGrid w:val="0"/>
        <w:spacing w:line="360" w:lineRule="auto"/>
        <w:rPr>
          <w:rFonts w:ascii="宋体" w:hAnsi="宋体"/>
          <w:sz w:val="24"/>
          <w:szCs w:val="22"/>
        </w:rPr>
      </w:pPr>
      <w:r>
        <w:rPr>
          <w:rFonts w:hint="eastAsia" w:ascii="宋体" w:hAnsi="宋体"/>
          <w:sz w:val="24"/>
          <w:szCs w:val="22"/>
        </w:rPr>
        <w:t>如本项目（或包组）废标，应当由乙方重新组织采购活动，不再重新签订委托协议或签订补充协议。</w:t>
      </w:r>
    </w:p>
    <w:p w14:paraId="6EC0DB59">
      <w:pPr>
        <w:numPr>
          <w:ilvl w:val="0"/>
          <w:numId w:val="35"/>
        </w:numPr>
        <w:adjustRightInd w:val="0"/>
        <w:snapToGrid w:val="0"/>
        <w:spacing w:line="360" w:lineRule="auto"/>
        <w:rPr>
          <w:rFonts w:ascii="宋体" w:hAnsi="宋体"/>
          <w:sz w:val="24"/>
          <w:szCs w:val="22"/>
        </w:rPr>
      </w:pPr>
      <w:r>
        <w:rPr>
          <w:rFonts w:hint="eastAsia" w:ascii="宋体" w:hAnsi="宋体"/>
          <w:sz w:val="24"/>
          <w:szCs w:val="22"/>
        </w:rPr>
        <w:t>本委托协议由双方盖章后立即生效。</w:t>
      </w:r>
    </w:p>
    <w:p w14:paraId="03051095">
      <w:pPr>
        <w:numPr>
          <w:ilvl w:val="0"/>
          <w:numId w:val="35"/>
        </w:numPr>
        <w:adjustRightInd w:val="0"/>
        <w:snapToGrid w:val="0"/>
        <w:spacing w:line="360" w:lineRule="auto"/>
        <w:rPr>
          <w:rFonts w:ascii="宋体" w:hAnsi="宋体"/>
          <w:sz w:val="24"/>
          <w:szCs w:val="22"/>
        </w:rPr>
      </w:pPr>
      <w:r>
        <w:rPr>
          <w:rFonts w:hint="eastAsia" w:ascii="宋体" w:hAnsi="宋体"/>
          <w:sz w:val="24"/>
          <w:szCs w:val="22"/>
        </w:rPr>
        <w:t>甲方委派项目给乙方，双方不针对具体项目签订协议及委托书，实施项目信息以招标文件中为准。委托代理的各项责任和义务遵照本委托协议。</w:t>
      </w:r>
    </w:p>
    <w:p w14:paraId="43C7237D">
      <w:pPr>
        <w:numPr>
          <w:ilvl w:val="0"/>
          <w:numId w:val="35"/>
        </w:numPr>
        <w:adjustRightInd w:val="0"/>
        <w:snapToGrid w:val="0"/>
        <w:spacing w:line="360" w:lineRule="auto"/>
      </w:pPr>
      <w:r>
        <w:rPr>
          <w:rFonts w:hint="eastAsia" w:ascii="宋体" w:hAnsi="宋体"/>
          <w:sz w:val="24"/>
          <w:szCs w:val="22"/>
        </w:rPr>
        <w:t>本协议正本壹式肆份，甲方、乙方各执贰份，具有同等法律效力。</w:t>
      </w:r>
    </w:p>
    <w:p w14:paraId="62BC8402">
      <w:pPr>
        <w:pStyle w:val="47"/>
        <w:numPr>
          <w:ilvl w:val="0"/>
          <w:numId w:val="0"/>
        </w:numPr>
        <w:ind w:left="420" w:firstLine="420"/>
      </w:pPr>
    </w:p>
    <w:tbl>
      <w:tblPr>
        <w:tblStyle w:val="48"/>
        <w:tblW w:w="0" w:type="auto"/>
        <w:jc w:val="center"/>
        <w:tblLayout w:type="fixed"/>
        <w:tblCellMar>
          <w:top w:w="0" w:type="dxa"/>
          <w:left w:w="108" w:type="dxa"/>
          <w:bottom w:w="0" w:type="dxa"/>
          <w:right w:w="108" w:type="dxa"/>
        </w:tblCellMar>
      </w:tblPr>
      <w:tblGrid>
        <w:gridCol w:w="5387"/>
        <w:gridCol w:w="3224"/>
      </w:tblGrid>
      <w:tr w14:paraId="3B173168">
        <w:tblPrEx>
          <w:tblCellMar>
            <w:top w:w="0" w:type="dxa"/>
            <w:left w:w="108" w:type="dxa"/>
            <w:bottom w:w="0" w:type="dxa"/>
            <w:right w:w="108" w:type="dxa"/>
          </w:tblCellMar>
        </w:tblPrEx>
        <w:trPr>
          <w:trHeight w:val="680" w:hRule="atLeast"/>
          <w:jc w:val="center"/>
        </w:trPr>
        <w:tc>
          <w:tcPr>
            <w:tcW w:w="5387" w:type="dxa"/>
          </w:tcPr>
          <w:p w14:paraId="1A289EDE">
            <w:pPr>
              <w:rPr>
                <w:rFonts w:hint="eastAsia" w:ascii="Calibri" w:hAnsi="Calibri" w:eastAsia="宋体"/>
                <w:sz w:val="28"/>
                <w:szCs w:val="22"/>
                <w:lang w:eastAsia="zh-CN"/>
              </w:rPr>
            </w:pPr>
            <w:r>
              <w:rPr>
                <w:rFonts w:ascii="Calibri" w:hAnsi="Calibri"/>
                <w:sz w:val="28"/>
                <w:szCs w:val="22"/>
              </w:rPr>
              <w:t>甲方</w:t>
            </w:r>
            <w:r>
              <w:rPr>
                <w:rFonts w:hint="eastAsia" w:ascii="Calibri" w:hAnsi="Calibri"/>
                <w:sz w:val="28"/>
                <w:szCs w:val="22"/>
              </w:rPr>
              <w:t>（盖章）</w:t>
            </w:r>
            <w:r>
              <w:rPr>
                <w:rFonts w:ascii="Calibri" w:hAnsi="Calibri"/>
                <w:sz w:val="28"/>
                <w:szCs w:val="22"/>
              </w:rPr>
              <w:t>：</w:t>
            </w:r>
            <w:r>
              <w:rPr>
                <w:rFonts w:hint="eastAsia" w:ascii="Calibri" w:hAnsi="Calibri"/>
                <w:sz w:val="28"/>
                <w:szCs w:val="22"/>
                <w:lang w:eastAsia="zh-CN"/>
              </w:rPr>
              <w:t>深圳市科技创新战略研究中心（深圳虚拟大学园管理服务中心）</w:t>
            </w:r>
          </w:p>
          <w:p w14:paraId="52022937">
            <w:pPr>
              <w:rPr>
                <w:rFonts w:ascii="Calibri" w:hAnsi="Calibri"/>
                <w:sz w:val="28"/>
                <w:szCs w:val="22"/>
              </w:rPr>
            </w:pPr>
          </w:p>
          <w:p w14:paraId="2F06FF91">
            <w:pPr>
              <w:rPr>
                <w:rFonts w:ascii="Calibri" w:hAnsi="Calibri"/>
                <w:sz w:val="28"/>
                <w:szCs w:val="22"/>
              </w:rPr>
            </w:pPr>
          </w:p>
        </w:tc>
        <w:tc>
          <w:tcPr>
            <w:tcW w:w="3224" w:type="dxa"/>
          </w:tcPr>
          <w:p w14:paraId="1F5333EE">
            <w:pPr>
              <w:rPr>
                <w:rFonts w:ascii="宋体" w:hAnsi="宋体"/>
                <w:sz w:val="28"/>
                <w:szCs w:val="28"/>
              </w:rPr>
            </w:pPr>
            <w:r>
              <w:rPr>
                <w:rFonts w:hint="eastAsia" w:ascii="Calibri" w:hAnsi="Calibri"/>
                <w:sz w:val="28"/>
                <w:szCs w:val="22"/>
              </w:rPr>
              <w:t>乙</w:t>
            </w:r>
            <w:r>
              <w:rPr>
                <w:rFonts w:ascii="Calibri" w:hAnsi="Calibri"/>
                <w:sz w:val="28"/>
                <w:szCs w:val="22"/>
              </w:rPr>
              <w:t>方</w:t>
            </w:r>
            <w:r>
              <w:rPr>
                <w:rFonts w:hint="eastAsia" w:ascii="Calibri" w:hAnsi="Calibri"/>
                <w:sz w:val="28"/>
                <w:szCs w:val="22"/>
              </w:rPr>
              <w:t>（盖章）</w:t>
            </w:r>
            <w:r>
              <w:rPr>
                <w:rFonts w:ascii="Calibri" w:hAnsi="Calibri"/>
                <w:sz w:val="28"/>
                <w:szCs w:val="22"/>
              </w:rPr>
              <w:t>：</w:t>
            </w:r>
            <w:r>
              <w:rPr>
                <w:rFonts w:ascii="宋体" w:hAnsi="宋体"/>
                <w:sz w:val="28"/>
                <w:szCs w:val="28"/>
              </w:rPr>
              <w:t xml:space="preserve"> </w:t>
            </w:r>
          </w:p>
          <w:p w14:paraId="43DAAEBD">
            <w:pPr>
              <w:rPr>
                <w:rFonts w:ascii="宋体" w:hAnsi="宋体"/>
                <w:sz w:val="28"/>
                <w:szCs w:val="28"/>
              </w:rPr>
            </w:pPr>
          </w:p>
          <w:p w14:paraId="50F9FF9C">
            <w:pPr>
              <w:rPr>
                <w:rFonts w:ascii="Calibri" w:hAnsi="Calibri"/>
                <w:sz w:val="28"/>
                <w:szCs w:val="22"/>
              </w:rPr>
            </w:pPr>
          </w:p>
        </w:tc>
      </w:tr>
      <w:tr w14:paraId="22051151">
        <w:tblPrEx>
          <w:tblCellMar>
            <w:top w:w="0" w:type="dxa"/>
            <w:left w:w="108" w:type="dxa"/>
            <w:bottom w:w="0" w:type="dxa"/>
            <w:right w:w="108" w:type="dxa"/>
          </w:tblCellMar>
        </w:tblPrEx>
        <w:trPr>
          <w:trHeight w:val="680" w:hRule="atLeast"/>
          <w:jc w:val="center"/>
        </w:trPr>
        <w:tc>
          <w:tcPr>
            <w:tcW w:w="5387" w:type="dxa"/>
          </w:tcPr>
          <w:p w14:paraId="0006BDDB">
            <w:pPr>
              <w:rPr>
                <w:rFonts w:ascii="Calibri" w:hAnsi="Calibri"/>
                <w:sz w:val="28"/>
                <w:szCs w:val="22"/>
              </w:rPr>
            </w:pPr>
            <w:r>
              <w:rPr>
                <w:rFonts w:hint="eastAsia" w:ascii="Calibri" w:hAnsi="Calibri"/>
                <w:sz w:val="28"/>
                <w:szCs w:val="22"/>
              </w:rPr>
              <w:t>法人代表或授权代理人（签字）</w:t>
            </w:r>
          </w:p>
        </w:tc>
        <w:tc>
          <w:tcPr>
            <w:tcW w:w="3224" w:type="dxa"/>
          </w:tcPr>
          <w:p w14:paraId="12143E21">
            <w:pPr>
              <w:rPr>
                <w:rFonts w:ascii="Calibri" w:hAnsi="Calibri"/>
                <w:sz w:val="28"/>
                <w:szCs w:val="22"/>
              </w:rPr>
            </w:pPr>
            <w:r>
              <w:rPr>
                <w:rFonts w:hint="eastAsia" w:ascii="Calibri" w:hAnsi="Calibri"/>
                <w:sz w:val="28"/>
                <w:szCs w:val="22"/>
              </w:rPr>
              <w:t>法人代表或授权代理人（签字）</w:t>
            </w:r>
          </w:p>
        </w:tc>
      </w:tr>
      <w:tr w14:paraId="639EC685">
        <w:tblPrEx>
          <w:tblCellMar>
            <w:top w:w="0" w:type="dxa"/>
            <w:left w:w="108" w:type="dxa"/>
            <w:bottom w:w="0" w:type="dxa"/>
            <w:right w:w="108" w:type="dxa"/>
          </w:tblCellMar>
        </w:tblPrEx>
        <w:trPr>
          <w:trHeight w:val="567" w:hRule="atLeast"/>
          <w:jc w:val="center"/>
        </w:trPr>
        <w:tc>
          <w:tcPr>
            <w:tcW w:w="5387" w:type="dxa"/>
            <w:vAlign w:val="center"/>
          </w:tcPr>
          <w:p w14:paraId="1F48DE69">
            <w:pPr>
              <w:rPr>
                <w:rFonts w:ascii="Calibri" w:hAnsi="Calibri"/>
                <w:sz w:val="28"/>
                <w:szCs w:val="22"/>
              </w:rPr>
            </w:pPr>
          </w:p>
          <w:p w14:paraId="6B6A038B">
            <w:pPr>
              <w:rPr>
                <w:rFonts w:ascii="Calibri" w:hAnsi="Calibri"/>
                <w:sz w:val="28"/>
                <w:szCs w:val="22"/>
              </w:rPr>
            </w:pPr>
          </w:p>
        </w:tc>
        <w:tc>
          <w:tcPr>
            <w:tcW w:w="3224" w:type="dxa"/>
            <w:vAlign w:val="center"/>
          </w:tcPr>
          <w:p w14:paraId="3098DD5D">
            <w:pPr>
              <w:rPr>
                <w:rFonts w:ascii="Calibri" w:hAnsi="Calibri"/>
                <w:sz w:val="28"/>
                <w:szCs w:val="22"/>
              </w:rPr>
            </w:pPr>
          </w:p>
        </w:tc>
      </w:tr>
      <w:tr w14:paraId="2E2AF13A">
        <w:tblPrEx>
          <w:tblCellMar>
            <w:top w:w="0" w:type="dxa"/>
            <w:left w:w="108" w:type="dxa"/>
            <w:bottom w:w="0" w:type="dxa"/>
            <w:right w:w="108" w:type="dxa"/>
          </w:tblCellMar>
        </w:tblPrEx>
        <w:trPr>
          <w:trHeight w:val="567" w:hRule="atLeast"/>
          <w:jc w:val="center"/>
        </w:trPr>
        <w:tc>
          <w:tcPr>
            <w:tcW w:w="5387" w:type="dxa"/>
            <w:vAlign w:val="center"/>
          </w:tcPr>
          <w:p w14:paraId="37CA7A4B">
            <w:pPr>
              <w:rPr>
                <w:rFonts w:ascii="Calibri" w:hAnsi="Calibri"/>
                <w:sz w:val="28"/>
                <w:szCs w:val="22"/>
              </w:rPr>
            </w:pPr>
            <w:r>
              <w:rPr>
                <w:rFonts w:hint="eastAsia" w:ascii="Calibri" w:hAnsi="Calibri"/>
                <w:sz w:val="28"/>
                <w:szCs w:val="22"/>
              </w:rPr>
              <w:t>日期：    年   月 　日</w:t>
            </w:r>
          </w:p>
        </w:tc>
        <w:tc>
          <w:tcPr>
            <w:tcW w:w="3224" w:type="dxa"/>
            <w:vAlign w:val="center"/>
          </w:tcPr>
          <w:p w14:paraId="54DA5FD5">
            <w:pPr>
              <w:rPr>
                <w:rFonts w:ascii="Calibri" w:hAnsi="Calibri"/>
                <w:sz w:val="28"/>
                <w:szCs w:val="22"/>
              </w:rPr>
            </w:pPr>
            <w:r>
              <w:rPr>
                <w:rFonts w:hint="eastAsia" w:ascii="Calibri" w:hAnsi="Calibri"/>
                <w:sz w:val="28"/>
                <w:szCs w:val="22"/>
              </w:rPr>
              <w:t>日期：    年   月 　日</w:t>
            </w:r>
          </w:p>
        </w:tc>
      </w:tr>
    </w:tbl>
    <w:p w14:paraId="07B4DFDC">
      <w:pPr>
        <w:widowControl/>
        <w:jc w:val="left"/>
        <w:rPr>
          <w:rFonts w:ascii="Calibri" w:hAnsi="Calibri"/>
          <w:szCs w:val="22"/>
        </w:rPr>
      </w:pPr>
      <w:r>
        <w:rPr>
          <w:rFonts w:ascii="Calibri" w:hAnsi="Calibri"/>
          <w:szCs w:val="22"/>
        </w:rPr>
        <w:br w:type="page"/>
      </w:r>
    </w:p>
    <w:p w14:paraId="592871B4">
      <w:pPr>
        <w:rPr>
          <w:rFonts w:ascii="Calibri" w:hAnsi="Calibri"/>
          <w:szCs w:val="22"/>
        </w:rPr>
      </w:pPr>
      <w:r>
        <w:rPr>
          <w:rFonts w:hint="eastAsia" w:ascii="Calibri" w:hAnsi="Calibri"/>
          <w:szCs w:val="22"/>
        </w:rPr>
        <w:t>附件1</w:t>
      </w:r>
    </w:p>
    <w:p w14:paraId="72157D35">
      <w:pPr>
        <w:jc w:val="center"/>
        <w:rPr>
          <w:rFonts w:ascii="仿宋_GB2312" w:hAnsi="Calibri" w:eastAsia="仿宋_GB2312"/>
          <w:sz w:val="28"/>
          <w:szCs w:val="28"/>
          <w:u w:val="single"/>
        </w:rPr>
      </w:pPr>
      <w:r>
        <w:rPr>
          <w:rFonts w:hint="eastAsia" w:ascii="黑体" w:hAnsi="Calibri" w:eastAsia="黑体"/>
          <w:sz w:val="48"/>
          <w:szCs w:val="48"/>
        </w:rPr>
        <w:t>采购委托函</w:t>
      </w:r>
    </w:p>
    <w:p w14:paraId="6383E01F">
      <w:pPr>
        <w:spacing w:line="360" w:lineRule="auto"/>
        <w:rPr>
          <w:rFonts w:ascii="仿宋_GB2312" w:hAnsi="Calibri" w:eastAsia="仿宋_GB2312"/>
          <w:sz w:val="28"/>
          <w:szCs w:val="28"/>
        </w:rPr>
      </w:pPr>
      <w:r>
        <w:rPr>
          <w:rFonts w:hint="eastAsia" w:ascii="仿宋_GB2312" w:hAnsi="Calibri" w:eastAsia="仿宋_GB2312"/>
          <w:sz w:val="28"/>
          <w:szCs w:val="28"/>
          <w:u w:val="single"/>
        </w:rPr>
        <w:t xml:space="preserve">                  </w:t>
      </w:r>
      <w:r>
        <w:rPr>
          <w:rFonts w:hint="eastAsia" w:ascii="仿宋_GB2312" w:hAnsi="Calibri" w:eastAsia="仿宋_GB2312"/>
          <w:sz w:val="28"/>
          <w:szCs w:val="28"/>
        </w:rPr>
        <w:t>公司：</w:t>
      </w:r>
    </w:p>
    <w:p w14:paraId="10B857D5">
      <w:pPr>
        <w:spacing w:line="360" w:lineRule="auto"/>
        <w:ind w:firstLine="560" w:firstLineChars="200"/>
        <w:rPr>
          <w:rFonts w:ascii="仿宋_GB2312" w:hAnsi="Calibri" w:eastAsia="仿宋_GB2312"/>
          <w:sz w:val="28"/>
          <w:szCs w:val="28"/>
        </w:rPr>
      </w:pPr>
      <w:r>
        <w:rPr>
          <w:rFonts w:hint="eastAsia" w:ascii="仿宋_GB2312" w:hAnsi="Calibri" w:eastAsia="仿宋_GB2312"/>
          <w:sz w:val="28"/>
          <w:szCs w:val="28"/>
        </w:rPr>
        <w:t>兹有我单位</w:t>
      </w:r>
      <w:r>
        <w:rPr>
          <w:rFonts w:hint="eastAsia" w:ascii="仿宋_GB2312" w:hAnsi="Calibri" w:eastAsia="仿宋_GB2312"/>
          <w:sz w:val="28"/>
          <w:szCs w:val="28"/>
          <w:u w:val="single"/>
        </w:rPr>
        <w:t>xxxxxxxxx项目</w:t>
      </w:r>
      <w:r>
        <w:rPr>
          <w:rFonts w:hint="eastAsia" w:ascii="仿宋_GB2312" w:hAnsi="Calibri" w:eastAsia="仿宋_GB2312"/>
          <w:sz w:val="28"/>
          <w:szCs w:val="28"/>
        </w:rPr>
        <w:t>委托贵单位代理采购，内容如下：</w:t>
      </w:r>
    </w:p>
    <w:tbl>
      <w:tblPr>
        <w:tblStyle w:val="48"/>
        <w:tblW w:w="943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9"/>
        <w:gridCol w:w="7150"/>
      </w:tblGrid>
      <w:tr w14:paraId="5570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289" w:type="dxa"/>
            <w:vAlign w:val="center"/>
          </w:tcPr>
          <w:p w14:paraId="6072D256">
            <w:pPr>
              <w:jc w:val="center"/>
              <w:rPr>
                <w:rFonts w:ascii="仿宋_GB2312" w:hAnsi="Calibri" w:eastAsia="仿宋_GB2312"/>
                <w:sz w:val="28"/>
                <w:szCs w:val="28"/>
              </w:rPr>
            </w:pPr>
            <w:r>
              <w:rPr>
                <w:rFonts w:hint="eastAsia" w:ascii="仿宋_GB2312" w:hAnsi="Calibri" w:eastAsia="仿宋_GB2312"/>
                <w:sz w:val="28"/>
                <w:szCs w:val="28"/>
              </w:rPr>
              <w:t>项目名称</w:t>
            </w:r>
          </w:p>
        </w:tc>
        <w:tc>
          <w:tcPr>
            <w:tcW w:w="7150" w:type="dxa"/>
            <w:vAlign w:val="center"/>
          </w:tcPr>
          <w:p w14:paraId="5DC5F9DF">
            <w:pPr>
              <w:rPr>
                <w:rFonts w:ascii="仿宋_GB2312" w:hAnsi="Calibri" w:eastAsia="仿宋_GB2312"/>
                <w:sz w:val="28"/>
                <w:szCs w:val="28"/>
              </w:rPr>
            </w:pPr>
            <w:r>
              <w:rPr>
                <w:rFonts w:hint="eastAsia" w:ascii="仿宋_GB2312" w:hAnsi="Calibri" w:eastAsia="仿宋_GB2312"/>
                <w:sz w:val="28"/>
                <w:szCs w:val="28"/>
              </w:rPr>
              <w:t xml:space="preserve"> </w:t>
            </w:r>
          </w:p>
        </w:tc>
      </w:tr>
      <w:tr w14:paraId="4367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289" w:type="dxa"/>
            <w:vAlign w:val="center"/>
          </w:tcPr>
          <w:p w14:paraId="0555CECE">
            <w:pPr>
              <w:jc w:val="center"/>
              <w:rPr>
                <w:rFonts w:ascii="仿宋_GB2312" w:hAnsi="Calibri" w:eastAsia="仿宋_GB2312"/>
                <w:sz w:val="28"/>
                <w:szCs w:val="28"/>
              </w:rPr>
            </w:pPr>
            <w:r>
              <w:rPr>
                <w:rFonts w:hint="eastAsia" w:ascii="仿宋_GB2312" w:hAnsi="Calibri" w:eastAsia="仿宋_GB2312"/>
                <w:sz w:val="28"/>
                <w:szCs w:val="28"/>
              </w:rPr>
              <w:t>资金来源</w:t>
            </w:r>
          </w:p>
        </w:tc>
        <w:tc>
          <w:tcPr>
            <w:tcW w:w="7150" w:type="dxa"/>
            <w:vAlign w:val="center"/>
          </w:tcPr>
          <w:p w14:paraId="0098F873">
            <w:pPr>
              <w:rPr>
                <w:rFonts w:ascii="仿宋_GB2312" w:hAnsi="Calibri" w:eastAsia="仿宋_GB2312"/>
                <w:sz w:val="28"/>
                <w:szCs w:val="28"/>
              </w:rPr>
            </w:pPr>
            <w:r>
              <w:rPr>
                <w:rFonts w:hint="eastAsia" w:ascii="仿宋_GB2312" w:hAnsi="Calibri" w:eastAsia="仿宋_GB2312"/>
                <w:sz w:val="28"/>
                <w:szCs w:val="28"/>
              </w:rPr>
              <w:t>财政性资金</w:t>
            </w:r>
          </w:p>
        </w:tc>
      </w:tr>
      <w:tr w14:paraId="762E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289" w:type="dxa"/>
            <w:vAlign w:val="center"/>
          </w:tcPr>
          <w:p w14:paraId="6CF28532">
            <w:pPr>
              <w:jc w:val="center"/>
              <w:rPr>
                <w:rFonts w:ascii="仿宋_GB2312" w:hAnsi="Calibri" w:eastAsia="仿宋_GB2312"/>
                <w:sz w:val="28"/>
                <w:szCs w:val="28"/>
              </w:rPr>
            </w:pPr>
            <w:r>
              <w:rPr>
                <w:rFonts w:hint="eastAsia" w:ascii="仿宋_GB2312" w:hAnsi="Calibri" w:eastAsia="仿宋_GB2312"/>
                <w:sz w:val="28"/>
                <w:szCs w:val="28"/>
              </w:rPr>
              <w:t>预算金额</w:t>
            </w:r>
          </w:p>
        </w:tc>
        <w:tc>
          <w:tcPr>
            <w:tcW w:w="7150" w:type="dxa"/>
            <w:vAlign w:val="center"/>
          </w:tcPr>
          <w:p w14:paraId="0CAFD205">
            <w:pPr>
              <w:rPr>
                <w:rFonts w:ascii="仿宋_GB2312" w:hAnsi="Calibri" w:eastAsia="仿宋_GB2312"/>
                <w:sz w:val="24"/>
              </w:rPr>
            </w:pPr>
            <w:r>
              <w:rPr>
                <w:rFonts w:hint="eastAsia" w:ascii="仿宋_GB2312" w:hAnsi="Calibri" w:eastAsia="仿宋_GB2312"/>
                <w:sz w:val="24"/>
                <w:lang w:val="en-US" w:eastAsia="zh-CN"/>
              </w:rPr>
              <w:t>XX</w:t>
            </w:r>
            <w:r>
              <w:rPr>
                <w:rFonts w:hint="eastAsia" w:ascii="仿宋_GB2312" w:hAnsi="Calibri" w:eastAsia="仿宋_GB2312"/>
                <w:sz w:val="24"/>
              </w:rPr>
              <w:t>万元</w:t>
            </w:r>
          </w:p>
        </w:tc>
      </w:tr>
      <w:tr w14:paraId="69BB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2289" w:type="dxa"/>
            <w:vAlign w:val="center"/>
          </w:tcPr>
          <w:p w14:paraId="55AE97E2">
            <w:pPr>
              <w:jc w:val="center"/>
              <w:rPr>
                <w:rFonts w:ascii="仿宋_GB2312" w:hAnsi="Calibri" w:eastAsia="仿宋_GB2312"/>
                <w:sz w:val="28"/>
                <w:szCs w:val="28"/>
              </w:rPr>
            </w:pPr>
            <w:r>
              <w:rPr>
                <w:rFonts w:hint="eastAsia" w:ascii="仿宋_GB2312" w:hAnsi="Calibri" w:eastAsia="仿宋_GB2312"/>
                <w:sz w:val="28"/>
                <w:szCs w:val="28"/>
              </w:rPr>
              <w:t>采购方式</w:t>
            </w:r>
          </w:p>
        </w:tc>
        <w:tc>
          <w:tcPr>
            <w:tcW w:w="7150" w:type="dxa"/>
            <w:vAlign w:val="center"/>
          </w:tcPr>
          <w:p w14:paraId="687C2C58">
            <w:pPr>
              <w:numPr>
                <w:ilvl w:val="0"/>
                <w:numId w:val="36"/>
              </w:numPr>
              <w:jc w:val="left"/>
              <w:rPr>
                <w:rFonts w:ascii="仿宋_GB2312" w:eastAsia="仿宋_GB2312" w:hAnsiTheme="minorHAnsi" w:cstheme="minorBidi"/>
                <w:sz w:val="28"/>
                <w:szCs w:val="28"/>
              </w:rPr>
            </w:pPr>
            <w:r>
              <w:rPr>
                <w:rFonts w:hint="eastAsia" w:ascii="仿宋_GB2312" w:eastAsia="仿宋_GB2312" w:hAnsiTheme="minorHAnsi" w:cstheme="minorBidi"/>
                <w:sz w:val="28"/>
                <w:szCs w:val="28"/>
                <w:lang w:eastAsia="zh-CN"/>
              </w:rPr>
              <w:t>□</w:t>
            </w:r>
            <w:r>
              <w:rPr>
                <w:rFonts w:hint="eastAsia" w:ascii="仿宋_GB2312" w:eastAsia="仿宋_GB2312" w:hAnsiTheme="minorHAnsi" w:cstheme="minorBidi"/>
                <w:sz w:val="28"/>
                <w:szCs w:val="28"/>
              </w:rPr>
              <w:t>公开招标</w:t>
            </w:r>
            <w:r>
              <w:rPr>
                <w:rFonts w:ascii="仿宋_GB2312" w:eastAsia="仿宋_GB2312" w:hAnsiTheme="minorHAnsi" w:cstheme="minorBidi"/>
                <w:sz w:val="28"/>
                <w:szCs w:val="28"/>
              </w:rPr>
              <w:t xml:space="preserve">   </w:t>
            </w:r>
            <w:r>
              <w:rPr>
                <w:rFonts w:hint="eastAsia" w:ascii="仿宋_GB2312" w:eastAsia="仿宋_GB2312" w:hAnsiTheme="minorHAnsi" w:cstheme="minorBidi"/>
                <w:sz w:val="28"/>
                <w:szCs w:val="28"/>
              </w:rPr>
              <w:t>□竞争性谈判</w:t>
            </w:r>
            <w:r>
              <w:rPr>
                <w:rFonts w:ascii="仿宋_GB2312" w:eastAsia="仿宋_GB2312" w:hAnsiTheme="minorHAnsi" w:cstheme="minorBidi"/>
                <w:sz w:val="28"/>
                <w:szCs w:val="28"/>
              </w:rPr>
              <w:t xml:space="preserve">     </w:t>
            </w:r>
            <w:r>
              <w:rPr>
                <w:rFonts w:hint="eastAsia" w:ascii="仿宋_GB2312" w:eastAsia="仿宋_GB2312" w:hAnsiTheme="minorHAnsi" w:cstheme="minorBidi"/>
                <w:sz w:val="28"/>
                <w:szCs w:val="28"/>
              </w:rPr>
              <w:t>□单一来源</w:t>
            </w:r>
            <w:r>
              <w:rPr>
                <w:rFonts w:ascii="仿宋_GB2312" w:eastAsia="仿宋_GB2312" w:hAnsiTheme="minorHAnsi" w:cstheme="minorBidi"/>
                <w:sz w:val="28"/>
                <w:szCs w:val="28"/>
              </w:rPr>
              <w:t xml:space="preserve"> </w:t>
            </w:r>
          </w:p>
          <w:p w14:paraId="7AE089FB">
            <w:pPr>
              <w:numPr>
                <w:ilvl w:val="0"/>
                <w:numId w:val="36"/>
              </w:numPr>
              <w:ind w:left="0" w:firstLine="140" w:firstLineChars="50"/>
              <w:jc w:val="left"/>
              <w:rPr>
                <w:rFonts w:ascii="仿宋_GB2312" w:eastAsia="仿宋_GB2312" w:hAnsiTheme="minorHAnsi" w:cstheme="minorBidi"/>
                <w:sz w:val="28"/>
                <w:szCs w:val="28"/>
              </w:rPr>
            </w:pPr>
            <w:r>
              <w:rPr>
                <w:rFonts w:hint="eastAsia" w:ascii="仿宋_GB2312" w:eastAsia="仿宋_GB2312" w:hAnsiTheme="minorHAnsi" w:cstheme="minorBidi"/>
                <w:sz w:val="28"/>
                <w:szCs w:val="28"/>
              </w:rPr>
              <w:t>□询价</w:t>
            </w:r>
            <w:r>
              <w:rPr>
                <w:rFonts w:ascii="仿宋_GB2312" w:eastAsia="仿宋_GB2312" w:hAnsiTheme="minorHAnsi" w:cstheme="minorBidi"/>
                <w:sz w:val="28"/>
                <w:szCs w:val="28"/>
              </w:rPr>
              <w:t xml:space="preserve">       </w:t>
            </w:r>
            <w:r>
              <w:rPr>
                <w:rFonts w:hint="eastAsia" w:ascii="仿宋_GB2312" w:eastAsia="仿宋_GB2312" w:hAnsiTheme="minorHAnsi" w:cstheme="minorBidi"/>
                <w:sz w:val="28"/>
                <w:szCs w:val="28"/>
              </w:rPr>
              <w:t>□竞争性磋商</w:t>
            </w:r>
            <w:r>
              <w:rPr>
                <w:rFonts w:ascii="仿宋_GB2312" w:eastAsia="仿宋_GB2312" w:hAnsiTheme="minorHAnsi" w:cstheme="minorBidi"/>
                <w:sz w:val="28"/>
                <w:szCs w:val="28"/>
              </w:rPr>
              <w:t xml:space="preserve">  </w:t>
            </w:r>
            <w:r>
              <w:rPr>
                <w:rFonts w:hint="eastAsia" w:ascii="仿宋_GB2312" w:eastAsia="仿宋_GB2312" w:hAnsiTheme="minorHAnsi" w:cstheme="minorBidi"/>
                <w:sz w:val="28"/>
                <w:szCs w:val="28"/>
              </w:rPr>
              <w:t xml:space="preserve">  </w:t>
            </w:r>
            <w:r>
              <w:rPr>
                <w:rFonts w:ascii="仿宋_GB2312" w:eastAsia="仿宋_GB2312" w:hAnsiTheme="minorHAnsi" w:cstheme="minorBidi"/>
                <w:sz w:val="28"/>
                <w:szCs w:val="28"/>
              </w:rPr>
              <w:t xml:space="preserve"> </w:t>
            </w:r>
            <w:r>
              <w:rPr>
                <w:rFonts w:hint="eastAsia" w:ascii="仿宋_GB2312" w:eastAsia="仿宋_GB2312" w:hAnsiTheme="minorHAnsi" w:cstheme="minorBidi"/>
                <w:sz w:val="28"/>
                <w:szCs w:val="28"/>
              </w:rPr>
              <w:t>□邀请招标</w:t>
            </w:r>
          </w:p>
          <w:p w14:paraId="57AA5345">
            <w:pPr>
              <w:numPr>
                <w:ilvl w:val="0"/>
                <w:numId w:val="36"/>
              </w:numPr>
              <w:ind w:left="0" w:firstLine="140" w:firstLineChars="50"/>
              <w:jc w:val="left"/>
              <w:rPr>
                <w:rFonts w:ascii="仿宋_GB2312" w:eastAsia="仿宋_GB2312" w:hAnsiTheme="minorHAnsi" w:cstheme="minorBidi"/>
                <w:sz w:val="28"/>
                <w:szCs w:val="28"/>
              </w:rPr>
            </w:pPr>
            <w:r>
              <w:rPr>
                <w:rFonts w:hint="eastAsia" w:ascii="仿宋_GB2312" w:eastAsia="仿宋_GB2312" w:hAnsiTheme="minorHAnsi" w:cstheme="minorBidi"/>
                <w:sz w:val="28"/>
                <w:szCs w:val="28"/>
              </w:rPr>
              <w:t>□国际竞争性谈判</w:t>
            </w:r>
            <w:r>
              <w:rPr>
                <w:rFonts w:ascii="仿宋_GB2312" w:eastAsia="仿宋_GB2312" w:hAnsiTheme="minorHAnsi" w:cstheme="minorBidi"/>
                <w:sz w:val="28"/>
                <w:szCs w:val="28"/>
              </w:rPr>
              <w:t xml:space="preserve">    </w:t>
            </w:r>
          </w:p>
        </w:tc>
      </w:tr>
      <w:tr w14:paraId="4051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289" w:type="dxa"/>
            <w:vAlign w:val="center"/>
          </w:tcPr>
          <w:p w14:paraId="04DC793E">
            <w:pPr>
              <w:rPr>
                <w:rFonts w:ascii="仿宋_GB2312" w:hAnsi="Calibri" w:eastAsia="仿宋_GB2312"/>
                <w:sz w:val="28"/>
                <w:szCs w:val="28"/>
              </w:rPr>
            </w:pPr>
            <w:r>
              <w:rPr>
                <w:rFonts w:hint="eastAsia" w:ascii="仿宋_GB2312" w:hAnsi="Calibri" w:eastAsia="仿宋_GB2312"/>
                <w:sz w:val="28"/>
                <w:szCs w:val="28"/>
              </w:rPr>
              <w:t>服务费下浮率</w:t>
            </w:r>
          </w:p>
        </w:tc>
        <w:tc>
          <w:tcPr>
            <w:tcW w:w="7150" w:type="dxa"/>
            <w:vAlign w:val="center"/>
          </w:tcPr>
          <w:p w14:paraId="1F4BB841">
            <w:pPr>
              <w:rPr>
                <w:rFonts w:ascii="仿宋_GB2312" w:hAnsi="Calibri" w:eastAsia="仿宋_GB2312"/>
                <w:sz w:val="28"/>
                <w:szCs w:val="28"/>
              </w:rPr>
            </w:pPr>
            <w:r>
              <w:rPr>
                <w:rFonts w:hint="eastAsia" w:ascii="仿宋_GB2312" w:hAnsi="Calibri" w:eastAsia="仿宋_GB2312"/>
                <w:sz w:val="28"/>
                <w:szCs w:val="28"/>
              </w:rPr>
              <w:t>按市财政委公布的代理费用参考标准下调</w:t>
            </w:r>
            <w:r>
              <w:rPr>
                <w:rFonts w:hint="eastAsia" w:ascii="仿宋_GB2312" w:hAnsi="Calibri" w:eastAsia="仿宋_GB2312"/>
                <w:sz w:val="28"/>
                <w:szCs w:val="28"/>
                <w:u w:val="single"/>
              </w:rPr>
              <w:t xml:space="preserve">   </w:t>
            </w:r>
            <w:r>
              <w:rPr>
                <w:rFonts w:ascii="仿宋_GB2312" w:hAnsi="Calibri" w:eastAsia="仿宋_GB2312"/>
                <w:sz w:val="28"/>
                <w:szCs w:val="28"/>
              </w:rPr>
              <w:t>%</w:t>
            </w:r>
          </w:p>
        </w:tc>
      </w:tr>
      <w:tr w14:paraId="1BC0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2289" w:type="dxa"/>
            <w:vAlign w:val="center"/>
          </w:tcPr>
          <w:p w14:paraId="3E12DF3F">
            <w:pPr>
              <w:jc w:val="center"/>
              <w:rPr>
                <w:rFonts w:ascii="仿宋_GB2312" w:hAnsi="Calibri" w:eastAsia="仿宋_GB2312"/>
                <w:sz w:val="28"/>
                <w:szCs w:val="28"/>
              </w:rPr>
            </w:pPr>
            <w:r>
              <w:rPr>
                <w:rFonts w:hint="eastAsia" w:ascii="仿宋_GB2312" w:hAnsi="Calibri" w:eastAsia="仿宋_GB2312"/>
                <w:sz w:val="28"/>
                <w:szCs w:val="28"/>
              </w:rPr>
              <w:t>项目联系人</w:t>
            </w:r>
          </w:p>
        </w:tc>
        <w:tc>
          <w:tcPr>
            <w:tcW w:w="7150" w:type="dxa"/>
            <w:vAlign w:val="center"/>
          </w:tcPr>
          <w:p w14:paraId="48B9D328">
            <w:pPr>
              <w:rPr>
                <w:rFonts w:ascii="仿宋_GB2312" w:hAnsi="Calibri" w:eastAsia="仿宋_GB2312"/>
                <w:sz w:val="28"/>
                <w:szCs w:val="28"/>
              </w:rPr>
            </w:pPr>
            <w:r>
              <w:rPr>
                <w:rFonts w:hint="eastAsia" w:ascii="仿宋_GB2312" w:hAnsi="Calibri" w:eastAsia="仿宋_GB2312"/>
                <w:sz w:val="28"/>
                <w:szCs w:val="28"/>
              </w:rPr>
              <w:t>姓名：       职务：</w:t>
            </w:r>
          </w:p>
          <w:p w14:paraId="5BD33140">
            <w:pPr>
              <w:rPr>
                <w:rFonts w:ascii="仿宋_GB2312" w:hAnsi="Calibri" w:eastAsia="仿宋_GB2312"/>
                <w:sz w:val="28"/>
                <w:szCs w:val="28"/>
              </w:rPr>
            </w:pPr>
            <w:r>
              <w:rPr>
                <w:rFonts w:hint="eastAsia" w:ascii="仿宋_GB2312" w:hAnsi="Calibri" w:eastAsia="仿宋_GB2312"/>
                <w:sz w:val="28"/>
                <w:szCs w:val="28"/>
              </w:rPr>
              <w:t xml:space="preserve">电话：     </w:t>
            </w:r>
            <w:r>
              <w:rPr>
                <w:rFonts w:ascii="仿宋_GB2312" w:hAnsi="Calibri" w:eastAsia="仿宋_GB2312"/>
                <w:sz w:val="28"/>
                <w:szCs w:val="28"/>
              </w:rPr>
              <w:t xml:space="preserve"> </w:t>
            </w:r>
            <w:r>
              <w:rPr>
                <w:rFonts w:hint="eastAsia" w:ascii="仿宋_GB2312" w:hAnsi="Calibri" w:eastAsia="仿宋_GB2312"/>
                <w:sz w:val="28"/>
                <w:szCs w:val="28"/>
              </w:rPr>
              <w:t xml:space="preserve"> 邮箱：</w:t>
            </w:r>
          </w:p>
        </w:tc>
      </w:tr>
      <w:tr w14:paraId="4E1E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289" w:type="dxa"/>
            <w:vAlign w:val="center"/>
          </w:tcPr>
          <w:p w14:paraId="3BDEBA9D">
            <w:pPr>
              <w:jc w:val="center"/>
              <w:rPr>
                <w:rFonts w:ascii="仿宋_GB2312" w:hAnsi="Calibri" w:eastAsia="仿宋_GB2312"/>
                <w:sz w:val="28"/>
                <w:szCs w:val="28"/>
              </w:rPr>
            </w:pPr>
            <w:r>
              <w:rPr>
                <w:rFonts w:hint="eastAsia" w:ascii="仿宋_GB2312" w:hAnsi="Calibri" w:eastAsia="仿宋_GB2312"/>
                <w:sz w:val="28"/>
                <w:szCs w:val="28"/>
              </w:rPr>
              <w:t>采购需求</w:t>
            </w:r>
          </w:p>
        </w:tc>
        <w:tc>
          <w:tcPr>
            <w:tcW w:w="7150" w:type="dxa"/>
            <w:vAlign w:val="center"/>
          </w:tcPr>
          <w:p w14:paraId="38DA5E0A">
            <w:pPr>
              <w:jc w:val="left"/>
              <w:rPr>
                <w:rFonts w:ascii="仿宋_GB2312" w:hAnsi="Calibri" w:eastAsia="仿宋_GB2312"/>
                <w:sz w:val="28"/>
                <w:szCs w:val="28"/>
              </w:rPr>
            </w:pPr>
            <w:r>
              <w:rPr>
                <w:rFonts w:hint="eastAsia" w:ascii="仿宋_GB2312" w:hAnsi="Calibri" w:eastAsia="仿宋_GB2312"/>
                <w:sz w:val="28"/>
                <w:szCs w:val="28"/>
              </w:rPr>
              <w:t>详见附件</w:t>
            </w:r>
          </w:p>
        </w:tc>
      </w:tr>
    </w:tbl>
    <w:p w14:paraId="2291CE02">
      <w:pPr>
        <w:spacing w:line="360" w:lineRule="auto"/>
        <w:ind w:firstLine="543" w:firstLineChars="194"/>
        <w:rPr>
          <w:rFonts w:ascii="仿宋_GB2312" w:hAnsi="Calibri" w:eastAsia="仿宋_GB2312"/>
          <w:sz w:val="28"/>
          <w:szCs w:val="28"/>
        </w:rPr>
      </w:pPr>
      <w:r>
        <w:rPr>
          <w:rFonts w:hint="eastAsia" w:ascii="仿宋_GB2312" w:hAnsi="Calibri" w:eastAsia="仿宋_GB2312"/>
          <w:sz w:val="28"/>
          <w:szCs w:val="28"/>
        </w:rPr>
        <w:t>说明：招标代理公司接受委托后，须在我单位委托范围内按我单位要求的采购方式办理采购事宜，我单位将提供必要的文件和资料，配合你单位为此组织的采购工作。</w:t>
      </w:r>
    </w:p>
    <w:p w14:paraId="5773F216">
      <w:pPr>
        <w:spacing w:line="360" w:lineRule="auto"/>
        <w:ind w:firstLine="405"/>
        <w:rPr>
          <w:rFonts w:ascii="仿宋_GB2312" w:hAnsi="Calibri" w:eastAsia="仿宋_GB2312"/>
          <w:sz w:val="28"/>
          <w:szCs w:val="28"/>
        </w:rPr>
      </w:pPr>
      <w:r>
        <w:rPr>
          <w:rFonts w:hint="eastAsia" w:ascii="仿宋_GB2312" w:hAnsi="Calibri" w:eastAsia="仿宋_GB2312"/>
          <w:sz w:val="28"/>
          <w:szCs w:val="28"/>
        </w:rPr>
        <w:t>特此委托。</w:t>
      </w:r>
    </w:p>
    <w:p w14:paraId="1D0DC463">
      <w:pPr>
        <w:spacing w:line="360" w:lineRule="auto"/>
        <w:ind w:firstLine="3920" w:firstLineChars="1400"/>
        <w:rPr>
          <w:rFonts w:ascii="仿宋_GB2312" w:hAnsi="Calibri" w:eastAsia="仿宋_GB2312"/>
          <w:sz w:val="28"/>
          <w:szCs w:val="28"/>
        </w:rPr>
      </w:pPr>
      <w:r>
        <w:rPr>
          <w:rFonts w:hint="eastAsia" w:ascii="仿宋_GB2312" w:hAnsi="Calibri" w:eastAsia="仿宋_GB2312"/>
          <w:sz w:val="28"/>
          <w:szCs w:val="28"/>
        </w:rPr>
        <w:t>委托单位：</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 xml:space="preserve"> </w:t>
      </w:r>
    </w:p>
    <w:p w14:paraId="1EE85AD5">
      <w:pPr>
        <w:spacing w:line="360" w:lineRule="auto"/>
        <w:ind w:firstLine="3920" w:firstLineChars="1400"/>
        <w:rPr>
          <w:rFonts w:ascii="仿宋_GB2312" w:hAnsi="Calibri" w:eastAsia="仿宋_GB2312"/>
          <w:sz w:val="28"/>
          <w:szCs w:val="28"/>
          <w:u w:val="single"/>
        </w:rPr>
      </w:pPr>
      <w:r>
        <w:rPr>
          <w:rFonts w:hint="eastAsia" w:ascii="仿宋_GB2312" w:hAnsi="Calibri" w:eastAsia="仿宋_GB2312"/>
          <w:sz w:val="28"/>
          <w:szCs w:val="28"/>
        </w:rPr>
        <w:t>公    章：</w:t>
      </w:r>
      <w:r>
        <w:rPr>
          <w:rFonts w:hint="eastAsia" w:ascii="仿宋_GB2312" w:hAnsi="Calibri" w:eastAsia="仿宋_GB2312"/>
          <w:sz w:val="28"/>
          <w:szCs w:val="28"/>
          <w:u w:val="single"/>
        </w:rPr>
        <w:t xml:space="preserve">                          </w:t>
      </w:r>
    </w:p>
    <w:p w14:paraId="408C6D35">
      <w:pPr>
        <w:spacing w:line="360" w:lineRule="auto"/>
        <w:ind w:firstLine="3920" w:firstLineChars="1400"/>
        <w:rPr>
          <w:rFonts w:ascii="仿宋_GB2312" w:hAnsi="Calibri" w:eastAsia="仿宋_GB2312"/>
          <w:color w:val="000000"/>
          <w:sz w:val="28"/>
          <w:szCs w:val="28"/>
        </w:rPr>
      </w:pPr>
      <w:r>
        <w:rPr>
          <w:rFonts w:hint="eastAsia" w:ascii="仿宋_GB2312" w:hAnsi="Calibri" w:eastAsia="仿宋_GB2312"/>
          <w:sz w:val="28"/>
          <w:szCs w:val="28"/>
        </w:rPr>
        <w:t>日   期：</w:t>
      </w:r>
      <w:r>
        <w:rPr>
          <w:rFonts w:hint="eastAsia" w:ascii="仿宋_GB2312" w:hAnsi="Calibri" w:eastAsia="仿宋_GB2312"/>
          <w:sz w:val="28"/>
          <w:szCs w:val="28"/>
          <w:u w:val="single"/>
        </w:rPr>
        <w:t xml:space="preserve">  </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single"/>
        </w:rPr>
        <w:t>年    月   日</w:t>
      </w:r>
      <w:r>
        <w:rPr>
          <w:rFonts w:hint="eastAsia" w:ascii="仿宋_GB2312" w:hAnsi="Calibri" w:eastAsia="仿宋_GB2312"/>
          <w:color w:val="000000"/>
          <w:sz w:val="28"/>
          <w:szCs w:val="28"/>
        </w:rPr>
        <w:t xml:space="preserve"> </w:t>
      </w:r>
    </w:p>
    <w:p w14:paraId="5B0DC54F">
      <w:pPr>
        <w:spacing w:line="360" w:lineRule="auto"/>
        <w:rPr>
          <w:rFonts w:ascii="仿宋_GB2312" w:hAnsi="Calibri" w:eastAsia="仿宋_GB2312"/>
          <w:color w:val="000000"/>
          <w:sz w:val="22"/>
          <w:szCs w:val="22"/>
        </w:rPr>
      </w:pPr>
      <w:r>
        <w:rPr>
          <w:rFonts w:hint="eastAsia" w:ascii="仿宋_GB2312" w:hAnsi="Calibri" w:eastAsia="仿宋_GB2312"/>
          <w:color w:val="000000"/>
          <w:sz w:val="22"/>
          <w:szCs w:val="22"/>
        </w:rPr>
        <w:t>本委托函一式两份，委托单位一份，招标代理机构一份</w:t>
      </w:r>
    </w:p>
    <w:p w14:paraId="6265871E">
      <w:pPr>
        <w:spacing w:after="120"/>
        <w:rPr>
          <w:rFonts w:ascii="Calibri" w:hAnsi="Calibri"/>
          <w:sz w:val="28"/>
          <w:szCs w:val="28"/>
        </w:rPr>
      </w:pPr>
      <w:r>
        <w:rPr>
          <w:rFonts w:hint="eastAsia" w:ascii="宋体" w:hAnsi="宋体"/>
          <w:b/>
          <w:bCs/>
          <w:sz w:val="28"/>
          <w:szCs w:val="28"/>
        </w:rPr>
        <w:t>附件2</w:t>
      </w:r>
    </w:p>
    <w:p w14:paraId="3A4822E8">
      <w:pPr>
        <w:spacing w:after="120"/>
        <w:ind w:left="418" w:hanging="418" w:hangingChars="95"/>
        <w:jc w:val="center"/>
        <w:rPr>
          <w:rFonts w:ascii="仿宋_GB2312" w:hAnsi="Calibri" w:eastAsia="仿宋_GB2312"/>
          <w:b/>
          <w:sz w:val="32"/>
          <w:szCs w:val="32"/>
        </w:rPr>
      </w:pPr>
      <w:r>
        <w:rPr>
          <w:rFonts w:hint="eastAsia" w:ascii="方正小标宋_GBK" w:hAnsi="方正小标宋_GBK" w:eastAsia="方正小标宋_GBK" w:cs="方正小标宋_GBK"/>
          <w:bCs/>
          <w:sz w:val="44"/>
          <w:szCs w:val="44"/>
        </w:rPr>
        <w:t>项目各项要求</w:t>
      </w:r>
    </w:p>
    <w:p w14:paraId="3B4C1F14">
      <w:pPr>
        <w:spacing w:after="120"/>
        <w:rPr>
          <w:rFonts w:ascii="仿宋_GB2312" w:hAnsi="Calibri" w:eastAsia="仿宋_GB2312"/>
          <w:sz w:val="32"/>
          <w:szCs w:val="32"/>
        </w:rPr>
      </w:pPr>
      <w:r>
        <w:rPr>
          <w:rFonts w:hint="eastAsia" w:ascii="仿宋_GB2312" w:hAnsi="Calibri" w:eastAsia="仿宋_GB2312"/>
          <w:sz w:val="32"/>
          <w:szCs w:val="32"/>
        </w:rPr>
        <w:t>㈠ 项目情况介绍（包括资金情况、采购单位简介、货物用途说明或服务说明等）；</w:t>
      </w:r>
    </w:p>
    <w:p w14:paraId="730E5134">
      <w:pPr>
        <w:spacing w:after="120"/>
        <w:rPr>
          <w:rFonts w:ascii="仿宋_GB2312" w:hAnsi="Calibri" w:eastAsia="仿宋_GB2312"/>
          <w:sz w:val="32"/>
          <w:szCs w:val="32"/>
        </w:rPr>
      </w:pPr>
      <w:r>
        <w:rPr>
          <w:rFonts w:hint="eastAsia" w:ascii="仿宋_GB2312" w:hAnsi="Calibri" w:eastAsia="仿宋_GB2312"/>
          <w:sz w:val="32"/>
          <w:szCs w:val="32"/>
        </w:rPr>
        <w:t>㈡ 交货日期（服务期限）及地点</w:t>
      </w:r>
    </w:p>
    <w:p w14:paraId="75489C50">
      <w:pPr>
        <w:spacing w:after="120"/>
        <w:rPr>
          <w:rFonts w:ascii="仿宋_GB2312" w:hAnsi="Calibri" w:eastAsia="仿宋_GB2312"/>
          <w:sz w:val="32"/>
          <w:szCs w:val="32"/>
        </w:rPr>
      </w:pPr>
      <w:r>
        <w:rPr>
          <w:rFonts w:hint="eastAsia" w:ascii="仿宋_GB2312" w:hAnsi="Calibri" w:eastAsia="仿宋_GB2312"/>
          <w:sz w:val="32"/>
          <w:szCs w:val="32"/>
        </w:rPr>
        <w:t>㈢ 技术（服务）要求</w:t>
      </w:r>
    </w:p>
    <w:p w14:paraId="2196EB6B">
      <w:pPr>
        <w:spacing w:after="120"/>
        <w:rPr>
          <w:rFonts w:ascii="仿宋_GB2312" w:hAnsi="Calibri" w:eastAsia="仿宋_GB2312"/>
          <w:sz w:val="32"/>
          <w:szCs w:val="32"/>
        </w:rPr>
      </w:pPr>
      <w:r>
        <w:rPr>
          <w:rFonts w:hint="eastAsia" w:ascii="仿宋_GB2312" w:hAnsi="Calibri" w:eastAsia="仿宋_GB2312"/>
          <w:sz w:val="32"/>
          <w:szCs w:val="32"/>
        </w:rPr>
        <w:t>3.1技术参数（或服务标准等）</w:t>
      </w:r>
    </w:p>
    <w:p w14:paraId="7D459962">
      <w:pPr>
        <w:spacing w:after="120"/>
        <w:rPr>
          <w:rFonts w:ascii="仿宋_GB2312" w:hAnsi="Calibri" w:eastAsia="仿宋_GB2312"/>
          <w:sz w:val="32"/>
          <w:szCs w:val="32"/>
        </w:rPr>
      </w:pPr>
      <w:r>
        <w:rPr>
          <w:rFonts w:hint="eastAsia" w:ascii="仿宋_GB2312" w:hAnsi="Calibri" w:eastAsia="仿宋_GB2312"/>
          <w:sz w:val="32"/>
          <w:szCs w:val="32"/>
        </w:rPr>
        <w:t>3.2 服务内容</w:t>
      </w:r>
    </w:p>
    <w:p w14:paraId="1EF44037">
      <w:pPr>
        <w:spacing w:after="120"/>
        <w:rPr>
          <w:rFonts w:ascii="仿宋_GB2312" w:hAnsi="Calibri" w:eastAsia="仿宋_GB2312"/>
          <w:sz w:val="32"/>
          <w:szCs w:val="32"/>
        </w:rPr>
      </w:pPr>
      <w:r>
        <w:rPr>
          <w:rFonts w:hint="eastAsia" w:ascii="仿宋_GB2312" w:hAnsi="Calibri" w:eastAsia="仿宋_GB2312"/>
          <w:sz w:val="32"/>
          <w:szCs w:val="32"/>
        </w:rPr>
        <w:t>3.3 服务人员要求</w:t>
      </w:r>
    </w:p>
    <w:p w14:paraId="3E4F0EAA">
      <w:pPr>
        <w:spacing w:after="120"/>
        <w:rPr>
          <w:rFonts w:ascii="仿宋_GB2312" w:hAnsi="Calibri" w:eastAsia="仿宋_GB2312"/>
          <w:sz w:val="32"/>
          <w:szCs w:val="32"/>
        </w:rPr>
      </w:pPr>
      <w:r>
        <w:rPr>
          <w:rFonts w:hint="eastAsia" w:ascii="仿宋_GB2312" w:hAnsi="Calibri" w:eastAsia="仿宋_GB2312"/>
          <w:sz w:val="32"/>
          <w:szCs w:val="32"/>
        </w:rPr>
        <w:t>3.4 提供相关参数要求、技术文件及图纸（如有）等</w:t>
      </w:r>
    </w:p>
    <w:p w14:paraId="1641998C">
      <w:pPr>
        <w:spacing w:after="120"/>
        <w:rPr>
          <w:rFonts w:ascii="仿宋_GB2312" w:hAnsi="Calibri" w:eastAsia="仿宋_GB2312"/>
          <w:sz w:val="32"/>
          <w:szCs w:val="32"/>
        </w:rPr>
      </w:pPr>
      <w:r>
        <w:rPr>
          <w:rFonts w:hint="eastAsia" w:ascii="仿宋_GB2312" w:hAnsi="Calibri" w:eastAsia="仿宋_GB2312"/>
          <w:sz w:val="32"/>
          <w:szCs w:val="32"/>
        </w:rPr>
        <w:t>3.5 设备工作所需备品备件、设备所加工的零件图纸资料（如有）</w:t>
      </w:r>
    </w:p>
    <w:p w14:paraId="617F8FC4">
      <w:pPr>
        <w:spacing w:after="120"/>
        <w:rPr>
          <w:rFonts w:ascii="仿宋_GB2312" w:hAnsi="Calibri" w:eastAsia="仿宋_GB2312"/>
          <w:sz w:val="32"/>
          <w:szCs w:val="32"/>
        </w:rPr>
      </w:pPr>
      <w:r>
        <w:rPr>
          <w:rFonts w:hint="eastAsia" w:ascii="仿宋_GB2312" w:hAnsi="Calibri" w:eastAsia="仿宋_GB2312"/>
          <w:sz w:val="32"/>
          <w:szCs w:val="32"/>
        </w:rPr>
        <w:t>3.6附件及零配件（包括专用工具）</w:t>
      </w:r>
    </w:p>
    <w:p w14:paraId="42B3CAF2">
      <w:pPr>
        <w:spacing w:after="120"/>
        <w:rPr>
          <w:rFonts w:ascii="仿宋_GB2312" w:hAnsi="Calibri" w:eastAsia="仿宋_GB2312"/>
          <w:sz w:val="32"/>
          <w:szCs w:val="32"/>
        </w:rPr>
      </w:pPr>
      <w:r>
        <w:rPr>
          <w:rFonts w:hint="eastAsia" w:ascii="仿宋_GB2312" w:hAnsi="Calibri" w:eastAsia="仿宋_GB2312"/>
          <w:sz w:val="32"/>
          <w:szCs w:val="32"/>
        </w:rPr>
        <w:t>3.7 设备可适应的环境条件</w:t>
      </w:r>
    </w:p>
    <w:p w14:paraId="2FE23D53">
      <w:pPr>
        <w:spacing w:after="120"/>
        <w:rPr>
          <w:rFonts w:ascii="仿宋_GB2312" w:hAnsi="Calibri" w:eastAsia="仿宋_GB2312"/>
          <w:sz w:val="32"/>
          <w:szCs w:val="32"/>
        </w:rPr>
      </w:pPr>
      <w:r>
        <w:rPr>
          <w:rFonts w:hint="eastAsia" w:ascii="仿宋_GB2312" w:hAnsi="Calibri" w:eastAsia="仿宋_GB2312"/>
          <w:sz w:val="32"/>
          <w:szCs w:val="32"/>
        </w:rPr>
        <w:t>㈣ 商务要求</w:t>
      </w:r>
    </w:p>
    <w:p w14:paraId="2C2BF189">
      <w:pPr>
        <w:spacing w:line="360" w:lineRule="auto"/>
        <w:jc w:val="left"/>
        <w:rPr>
          <w:rFonts w:ascii="仿宋_GB2312" w:hAnsi="Calibri" w:eastAsia="仿宋_GB2312"/>
          <w:sz w:val="32"/>
          <w:szCs w:val="32"/>
        </w:rPr>
      </w:pPr>
      <w:r>
        <w:rPr>
          <w:rFonts w:hint="eastAsia" w:ascii="仿宋_GB2312" w:hAnsi="Calibri" w:eastAsia="仿宋_GB2312"/>
          <w:sz w:val="32"/>
          <w:szCs w:val="32"/>
        </w:rPr>
        <w:t>4.1 对投标人或制造商的资格条件的要求</w:t>
      </w:r>
    </w:p>
    <w:p w14:paraId="0C3DED86">
      <w:pPr>
        <w:spacing w:line="360" w:lineRule="auto"/>
        <w:jc w:val="left"/>
        <w:rPr>
          <w:rFonts w:ascii="仿宋_GB2312" w:hAnsi="Calibri" w:eastAsia="仿宋_GB2312"/>
          <w:sz w:val="32"/>
          <w:szCs w:val="32"/>
        </w:rPr>
      </w:pPr>
      <w:r>
        <w:rPr>
          <w:rFonts w:hint="eastAsia" w:ascii="仿宋_GB2312" w:hAnsi="Calibri" w:eastAsia="仿宋_GB2312"/>
          <w:sz w:val="32"/>
          <w:szCs w:val="32"/>
        </w:rPr>
        <w:t>4.2 报价要求</w:t>
      </w:r>
    </w:p>
    <w:p w14:paraId="4BC56A34">
      <w:pPr>
        <w:spacing w:line="360" w:lineRule="auto"/>
        <w:jc w:val="left"/>
        <w:rPr>
          <w:rFonts w:ascii="仿宋_GB2312" w:hAnsi="Calibri" w:eastAsia="仿宋_GB2312"/>
          <w:sz w:val="32"/>
          <w:szCs w:val="32"/>
        </w:rPr>
      </w:pPr>
      <w:r>
        <w:rPr>
          <w:rFonts w:hint="eastAsia" w:ascii="仿宋_GB2312" w:hAnsi="Calibri" w:eastAsia="仿宋_GB2312"/>
          <w:sz w:val="32"/>
          <w:szCs w:val="32"/>
        </w:rPr>
        <w:t>4.3 售后服务要求（质保期、故障响应时间等）</w:t>
      </w:r>
    </w:p>
    <w:p w14:paraId="3CDDC955">
      <w:pPr>
        <w:spacing w:line="360" w:lineRule="auto"/>
        <w:jc w:val="left"/>
        <w:rPr>
          <w:rFonts w:ascii="仿宋_GB2312" w:hAnsi="Calibri" w:eastAsia="仿宋_GB2312"/>
          <w:sz w:val="32"/>
          <w:szCs w:val="32"/>
        </w:rPr>
      </w:pPr>
      <w:r>
        <w:rPr>
          <w:rFonts w:hint="eastAsia" w:ascii="仿宋_GB2312" w:hAnsi="Calibri" w:eastAsia="仿宋_GB2312"/>
          <w:sz w:val="32"/>
          <w:szCs w:val="32"/>
        </w:rPr>
        <w:t>4.4 包装要求和运输方式</w:t>
      </w:r>
    </w:p>
    <w:p w14:paraId="227EB430">
      <w:pPr>
        <w:spacing w:line="360" w:lineRule="auto"/>
        <w:jc w:val="left"/>
        <w:rPr>
          <w:rFonts w:ascii="仿宋_GB2312" w:hAnsi="Calibri" w:eastAsia="仿宋_GB2312"/>
          <w:sz w:val="32"/>
          <w:szCs w:val="32"/>
        </w:rPr>
      </w:pPr>
      <w:r>
        <w:rPr>
          <w:rFonts w:hint="eastAsia" w:ascii="仿宋_GB2312" w:hAnsi="Calibri" w:eastAsia="仿宋_GB2312"/>
          <w:sz w:val="32"/>
          <w:szCs w:val="32"/>
        </w:rPr>
        <w:t>4.5 价格条件（适用于国际招标）</w:t>
      </w:r>
    </w:p>
    <w:p w14:paraId="24BE298A">
      <w:pPr>
        <w:spacing w:line="360" w:lineRule="auto"/>
        <w:jc w:val="left"/>
        <w:rPr>
          <w:rFonts w:ascii="仿宋_GB2312" w:hAnsi="Calibri" w:eastAsia="仿宋_GB2312"/>
          <w:sz w:val="32"/>
          <w:szCs w:val="32"/>
        </w:rPr>
      </w:pPr>
      <w:r>
        <w:rPr>
          <w:rFonts w:hint="eastAsia" w:ascii="仿宋_GB2312" w:hAnsi="Calibri" w:eastAsia="仿宋_GB2312"/>
          <w:sz w:val="32"/>
          <w:szCs w:val="32"/>
        </w:rPr>
        <w:t>4.6 付款方法和条件</w:t>
      </w:r>
    </w:p>
    <w:p w14:paraId="2A978C3C">
      <w:pPr>
        <w:spacing w:line="360" w:lineRule="auto"/>
        <w:jc w:val="left"/>
        <w:rPr>
          <w:rFonts w:ascii="仿宋_GB2312" w:hAnsi="Calibri" w:eastAsia="仿宋_GB2312"/>
          <w:sz w:val="32"/>
          <w:szCs w:val="32"/>
        </w:rPr>
      </w:pPr>
      <w:r>
        <w:rPr>
          <w:rFonts w:hint="eastAsia" w:ascii="仿宋_GB2312" w:hAnsi="Calibri" w:eastAsia="仿宋_GB2312"/>
          <w:sz w:val="32"/>
          <w:szCs w:val="32"/>
        </w:rPr>
        <w:t>4.7 安装、调试要求</w:t>
      </w:r>
    </w:p>
    <w:p w14:paraId="169E073F">
      <w:pPr>
        <w:spacing w:line="360" w:lineRule="auto"/>
        <w:jc w:val="left"/>
        <w:rPr>
          <w:rFonts w:ascii="仿宋_GB2312" w:hAnsi="Calibri" w:eastAsia="仿宋_GB2312"/>
          <w:sz w:val="32"/>
          <w:szCs w:val="32"/>
        </w:rPr>
      </w:pPr>
      <w:r>
        <w:rPr>
          <w:rFonts w:hint="eastAsia" w:ascii="仿宋_GB2312" w:hAnsi="Calibri" w:eastAsia="仿宋_GB2312"/>
          <w:sz w:val="32"/>
          <w:szCs w:val="32"/>
        </w:rPr>
        <w:t>4.8 培训要求</w:t>
      </w:r>
    </w:p>
    <w:p w14:paraId="118D0A9E">
      <w:pPr>
        <w:spacing w:line="360" w:lineRule="auto"/>
        <w:jc w:val="left"/>
        <w:rPr>
          <w:rFonts w:ascii="仿宋_GB2312" w:hAnsi="Calibri" w:eastAsia="仿宋_GB2312"/>
          <w:sz w:val="32"/>
          <w:szCs w:val="32"/>
        </w:rPr>
      </w:pPr>
      <w:r>
        <w:rPr>
          <w:rFonts w:hint="eastAsia" w:ascii="仿宋_GB2312" w:hAnsi="Calibri" w:eastAsia="仿宋_GB2312"/>
          <w:sz w:val="32"/>
          <w:szCs w:val="32"/>
        </w:rPr>
        <w:t>4.9验收标准</w:t>
      </w:r>
    </w:p>
    <w:p w14:paraId="35B71597">
      <w:pPr>
        <w:spacing w:line="360" w:lineRule="auto"/>
        <w:jc w:val="left"/>
        <w:rPr>
          <w:rFonts w:ascii="仿宋_GB2312" w:hAnsi="Calibri" w:eastAsia="仿宋_GB2312"/>
          <w:sz w:val="32"/>
          <w:szCs w:val="32"/>
        </w:rPr>
      </w:pPr>
      <w:r>
        <w:rPr>
          <w:rFonts w:hint="eastAsia" w:ascii="仿宋_GB2312" w:hAnsi="Calibri" w:eastAsia="仿宋_GB2312"/>
          <w:sz w:val="32"/>
          <w:szCs w:val="32"/>
        </w:rPr>
        <w:t>4.10 随机文件资料</w:t>
      </w:r>
    </w:p>
    <w:p w14:paraId="047A2D28">
      <w:pPr>
        <w:spacing w:line="360" w:lineRule="auto"/>
        <w:jc w:val="left"/>
        <w:rPr>
          <w:rFonts w:ascii="仿宋_GB2312" w:hAnsi="Calibri" w:eastAsia="仿宋_GB2312"/>
          <w:sz w:val="32"/>
          <w:szCs w:val="32"/>
        </w:rPr>
      </w:pPr>
      <w:r>
        <w:rPr>
          <w:rFonts w:hint="eastAsia" w:ascii="仿宋_GB2312" w:hAnsi="Calibri" w:eastAsia="仿宋_GB2312"/>
          <w:sz w:val="32"/>
          <w:szCs w:val="32"/>
        </w:rPr>
        <w:t>㈤ 评标办法：</w:t>
      </w:r>
    </w:p>
    <w:p w14:paraId="1319FBB3">
      <w:pPr>
        <w:spacing w:line="360" w:lineRule="auto"/>
        <w:jc w:val="left"/>
        <w:rPr>
          <w:rFonts w:ascii="仿宋_GB2312" w:hAnsi="Calibri" w:eastAsia="仿宋_GB2312"/>
          <w:sz w:val="32"/>
          <w:szCs w:val="32"/>
        </w:rPr>
      </w:pPr>
      <w:r>
        <w:rPr>
          <w:rFonts w:hint="eastAsia" w:ascii="仿宋_GB2312" w:hAnsi="Calibri" w:eastAsia="仿宋_GB2312"/>
          <w:sz w:val="32"/>
          <w:szCs w:val="32"/>
        </w:rPr>
        <w:t>□ 综合评分法</w:t>
      </w:r>
    </w:p>
    <w:p w14:paraId="4DA58749">
      <w:pPr>
        <w:spacing w:line="360" w:lineRule="auto"/>
        <w:rPr>
          <w:rFonts w:ascii="仿宋_GB2312" w:hAnsi="Calibri" w:eastAsia="仿宋_GB2312"/>
          <w:sz w:val="32"/>
          <w:szCs w:val="32"/>
        </w:rPr>
      </w:pPr>
      <w:r>
        <w:rPr>
          <w:rFonts w:hint="eastAsia" w:ascii="仿宋_GB2312" w:hAnsi="Calibri" w:eastAsia="仿宋_GB2312"/>
          <w:sz w:val="32"/>
          <w:szCs w:val="32"/>
        </w:rPr>
        <w:t>□ 最低评标价法</w:t>
      </w:r>
    </w:p>
    <w:p w14:paraId="4C8132F3">
      <w:pPr>
        <w:rPr>
          <w:rFonts w:ascii="Calibri" w:hAnsi="Calibri"/>
          <w:sz w:val="32"/>
          <w:szCs w:val="32"/>
        </w:rPr>
      </w:pPr>
      <w:r>
        <w:rPr>
          <w:rFonts w:hint="eastAsia" w:ascii="仿宋_GB2312" w:hAnsi="Calibri" w:eastAsia="仿宋_GB2312"/>
          <w:sz w:val="32"/>
          <w:szCs w:val="32"/>
        </w:rPr>
        <w:t>注：采购人可根据项目需求自行增减。</w:t>
      </w:r>
    </w:p>
    <w:p w14:paraId="001DB73F">
      <w:pPr>
        <w:spacing w:line="36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br w:type="page"/>
      </w:r>
    </w:p>
    <w:p w14:paraId="261DABD6">
      <w:pPr>
        <w:spacing w:line="360" w:lineRule="auto"/>
        <w:jc w:val="center"/>
        <w:outlineLvl w:val="1"/>
        <w:rPr>
          <w:rFonts w:hint="eastAsia" w:asciiTheme="minorEastAsia" w:hAnsiTheme="minorEastAsia" w:eastAsiaTheme="minorEastAsia"/>
          <w:b/>
          <w:bCs/>
          <w:szCs w:val="21"/>
        </w:rPr>
      </w:pPr>
      <w:bookmarkStart w:id="246" w:name="_Toc1680204728"/>
      <w:r>
        <w:rPr>
          <w:rFonts w:hint="eastAsia" w:asciiTheme="minorEastAsia" w:hAnsiTheme="minorEastAsia" w:eastAsiaTheme="minorEastAsia"/>
          <w:b/>
          <w:bCs/>
          <w:szCs w:val="21"/>
        </w:rPr>
        <w:t>二、投标文件参考格式</w:t>
      </w:r>
      <w:bookmarkEnd w:id="246"/>
    </w:p>
    <w:p w14:paraId="1527CE61">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（仅供参考）</w:t>
      </w:r>
    </w:p>
    <w:p w14:paraId="7FF2AAF5">
      <w:pPr>
        <w:spacing w:line="360" w:lineRule="auto"/>
        <w:rPr>
          <w:rFonts w:cs="Arial" w:asciiTheme="minorEastAsia" w:hAnsiTheme="minorEastAsia" w:eastAsiaTheme="minorEastAsia"/>
          <w:szCs w:val="21"/>
        </w:rPr>
      </w:pPr>
    </w:p>
    <w:p w14:paraId="1F246DA5">
      <w:pPr>
        <w:spacing w:line="360" w:lineRule="auto"/>
        <w:jc w:val="center"/>
        <w:outlineLvl w:val="2"/>
        <w:rPr>
          <w:rFonts w:asciiTheme="minorEastAsia" w:hAnsiTheme="minorEastAsia" w:eastAsiaTheme="minorEastAsia"/>
          <w:b/>
          <w:szCs w:val="21"/>
        </w:rPr>
      </w:pPr>
      <w:bookmarkStart w:id="247" w:name="_Toc886923446"/>
      <w:r>
        <w:rPr>
          <w:rFonts w:hint="eastAsia" w:asciiTheme="minorEastAsia" w:hAnsiTheme="minorEastAsia" w:eastAsiaTheme="minorEastAsia"/>
          <w:b/>
          <w:szCs w:val="21"/>
        </w:rPr>
        <w:t>1、密封袋封条格式</w:t>
      </w:r>
      <w:bookmarkEnd w:id="247"/>
    </w:p>
    <w:p w14:paraId="05DF0D27">
      <w:pPr>
        <w:spacing w:line="360" w:lineRule="auto"/>
        <w:jc w:val="center"/>
        <w:rPr>
          <w:rFonts w:cs="Arial" w:asciiTheme="minorEastAsia" w:hAnsiTheme="minorEastAsia" w:eastAsiaTheme="minorEastAsia"/>
          <w:b/>
          <w:bCs/>
          <w:szCs w:val="21"/>
        </w:rPr>
      </w:pPr>
    </w:p>
    <w:p w14:paraId="624B0CD4">
      <w:pPr>
        <w:spacing w:line="360" w:lineRule="auto"/>
        <w:jc w:val="center"/>
        <w:rPr>
          <w:rFonts w:cs="Arial" w:asciiTheme="minorEastAsia" w:hAnsiTheme="minorEastAsia" w:eastAsiaTheme="minorEastAsia"/>
          <w:b/>
          <w:bCs/>
          <w:szCs w:val="21"/>
        </w:rPr>
      </w:pPr>
    </w:p>
    <w:p w14:paraId="7E975C65">
      <w:pPr>
        <w:spacing w:line="360" w:lineRule="auto"/>
        <w:jc w:val="center"/>
        <w:rPr>
          <w:rFonts w:cs="Arial" w:asciiTheme="minorEastAsia" w:hAnsiTheme="minorEastAsia" w:eastAsiaTheme="minorEastAsia"/>
          <w:b/>
          <w:bCs/>
          <w:szCs w:val="21"/>
        </w:rPr>
      </w:pPr>
    </w:p>
    <w:p w14:paraId="76F47D66">
      <w:pPr>
        <w:spacing w:line="360" w:lineRule="auto"/>
        <w:jc w:val="center"/>
        <w:rPr>
          <w:rFonts w:cs="Arial" w:asciiTheme="minorEastAsia" w:hAnsiTheme="minorEastAsia" w:eastAsiaTheme="minorEastAsia"/>
          <w:b/>
          <w:bCs/>
          <w:szCs w:val="21"/>
        </w:rPr>
      </w:pPr>
    </w:p>
    <w:p w14:paraId="1F65EFDC">
      <w:pPr>
        <w:spacing w:line="360" w:lineRule="auto"/>
        <w:jc w:val="center"/>
        <w:rPr>
          <w:rFonts w:cs="Arial" w:asciiTheme="minorEastAsia" w:hAnsiTheme="minorEastAsia" w:eastAsiaTheme="minorEastAsia"/>
          <w:b/>
          <w:bCs/>
          <w:szCs w:val="21"/>
        </w:rPr>
      </w:pPr>
      <w:r>
        <w:rPr>
          <w:rFonts w:hint="eastAsia" w:cs="Arial" w:asciiTheme="minorEastAsia" w:hAnsiTheme="minorEastAsia" w:eastAsiaTheme="minorEastAsia"/>
          <w:b/>
          <w:bCs/>
          <w:szCs w:val="21"/>
        </w:rPr>
        <w:t>投标文件/开标一览表</w:t>
      </w:r>
    </w:p>
    <w:p w14:paraId="38759CD6">
      <w:pPr>
        <w:spacing w:line="360" w:lineRule="auto"/>
        <w:jc w:val="center"/>
        <w:rPr>
          <w:rFonts w:cs="Arial" w:asciiTheme="minorEastAsia" w:hAnsiTheme="minorEastAsia" w:eastAsiaTheme="minorEastAsia"/>
          <w:b/>
          <w:bCs/>
          <w:szCs w:val="21"/>
        </w:rPr>
      </w:pPr>
    </w:p>
    <w:p w14:paraId="0E7CCC0C">
      <w:pPr>
        <w:spacing w:line="360" w:lineRule="auto"/>
        <w:jc w:val="center"/>
        <w:rPr>
          <w:rFonts w:cs="Arial" w:asciiTheme="minorEastAsia" w:hAnsiTheme="minorEastAsia" w:eastAsiaTheme="minorEastAsia"/>
          <w:b/>
          <w:bCs/>
          <w:szCs w:val="21"/>
        </w:rPr>
      </w:pPr>
    </w:p>
    <w:p w14:paraId="612FBB60">
      <w:pPr>
        <w:spacing w:line="360" w:lineRule="auto"/>
        <w:jc w:val="center"/>
        <w:rPr>
          <w:rFonts w:cs="Arial" w:asciiTheme="minorEastAsia" w:hAnsiTheme="minorEastAsia" w:eastAsiaTheme="minorEastAsia"/>
          <w:b/>
          <w:bCs/>
          <w:szCs w:val="21"/>
        </w:rPr>
      </w:pPr>
    </w:p>
    <w:p w14:paraId="232A67C7">
      <w:pPr>
        <w:spacing w:line="360" w:lineRule="auto"/>
        <w:jc w:val="center"/>
        <w:rPr>
          <w:rFonts w:cs="Arial" w:asciiTheme="minorEastAsia" w:hAnsiTheme="minorEastAsia" w:eastAsiaTheme="minorEastAsia"/>
          <w:b/>
          <w:bCs/>
          <w:szCs w:val="21"/>
        </w:rPr>
      </w:pPr>
    </w:p>
    <w:p w14:paraId="50FB4584">
      <w:pPr>
        <w:spacing w:line="360" w:lineRule="auto"/>
        <w:jc w:val="center"/>
        <w:rPr>
          <w:rFonts w:cs="Arial" w:asciiTheme="minorEastAsia" w:hAnsiTheme="minorEastAsia" w:eastAsiaTheme="minorEastAsia"/>
          <w:b/>
          <w:bCs/>
          <w:szCs w:val="21"/>
        </w:rPr>
      </w:pPr>
    </w:p>
    <w:p w14:paraId="788D2B08">
      <w:pPr>
        <w:spacing w:line="360" w:lineRule="auto"/>
        <w:jc w:val="left"/>
        <w:rPr>
          <w:rFonts w:cs="Arial" w:asciiTheme="minorEastAsia" w:hAnsiTheme="minorEastAsia" w:eastAsiaTheme="minorEastAsia"/>
          <w:b/>
          <w:bCs/>
          <w:szCs w:val="21"/>
        </w:rPr>
      </w:pPr>
      <w:r>
        <w:rPr>
          <w:rFonts w:hint="eastAsia" w:cs="Arial" w:asciiTheme="minorEastAsia" w:hAnsiTheme="minorEastAsia" w:eastAsiaTheme="minorEastAsia"/>
          <w:b/>
          <w:bCs/>
          <w:szCs w:val="21"/>
        </w:rPr>
        <w:t>项目名称：</w:t>
      </w:r>
    </w:p>
    <w:p w14:paraId="2E731775">
      <w:pPr>
        <w:spacing w:line="360" w:lineRule="auto"/>
        <w:jc w:val="left"/>
        <w:rPr>
          <w:rFonts w:cs="Arial" w:asciiTheme="minorEastAsia" w:hAnsiTheme="minorEastAsia" w:eastAsiaTheme="minorEastAsia"/>
          <w:b/>
          <w:bCs/>
          <w:szCs w:val="21"/>
        </w:rPr>
      </w:pPr>
      <w:r>
        <w:rPr>
          <w:rFonts w:hint="eastAsia" w:cs="Arial" w:asciiTheme="minorEastAsia" w:hAnsiTheme="minorEastAsia" w:eastAsiaTheme="minorEastAsia"/>
          <w:b/>
          <w:bCs/>
          <w:szCs w:val="21"/>
        </w:rPr>
        <w:t>投标单位：</w:t>
      </w:r>
      <w:r>
        <w:rPr>
          <w:rFonts w:hint="eastAsia" w:cs="Arial" w:asciiTheme="minorEastAsia" w:hAnsiTheme="minorEastAsia" w:eastAsiaTheme="minorEastAsia"/>
          <w:b/>
          <w:bCs/>
          <w:szCs w:val="21"/>
          <w:u w:val="single"/>
        </w:rPr>
        <w:t xml:space="preserve">                                   （加盖公章）</w:t>
      </w:r>
    </w:p>
    <w:p w14:paraId="3ECF6BE4">
      <w:pPr>
        <w:spacing w:line="360" w:lineRule="auto"/>
        <w:jc w:val="left"/>
        <w:rPr>
          <w:rFonts w:cs="Arial" w:asciiTheme="minorEastAsia" w:hAnsiTheme="minorEastAsia" w:eastAsiaTheme="minorEastAsia"/>
          <w:b/>
          <w:bCs/>
          <w:szCs w:val="21"/>
        </w:rPr>
      </w:pPr>
      <w:r>
        <w:rPr>
          <w:rFonts w:hint="eastAsia" w:cs="Arial" w:asciiTheme="minorEastAsia" w:hAnsiTheme="minorEastAsia" w:eastAsiaTheme="minorEastAsia"/>
          <w:b/>
          <w:bCs/>
          <w:szCs w:val="21"/>
        </w:rPr>
        <w:t>单位地址：</w:t>
      </w:r>
    </w:p>
    <w:p w14:paraId="36C54E8D">
      <w:pPr>
        <w:spacing w:line="360" w:lineRule="auto"/>
        <w:jc w:val="left"/>
        <w:rPr>
          <w:rFonts w:cs="Arial" w:asciiTheme="minorEastAsia" w:hAnsiTheme="minorEastAsia" w:eastAsiaTheme="minorEastAsia"/>
          <w:b/>
          <w:bCs/>
          <w:szCs w:val="21"/>
          <w:u w:val="single"/>
        </w:rPr>
      </w:pPr>
      <w:r>
        <w:rPr>
          <w:rFonts w:hint="eastAsia" w:cs="Arial" w:asciiTheme="minorEastAsia" w:hAnsiTheme="minorEastAsia" w:eastAsiaTheme="minorEastAsia"/>
          <w:b/>
          <w:bCs/>
          <w:szCs w:val="21"/>
        </w:rPr>
        <w:t>法定代表人/被授权人：</w:t>
      </w:r>
    </w:p>
    <w:p w14:paraId="63AC349D">
      <w:pPr>
        <w:spacing w:line="360" w:lineRule="auto"/>
        <w:jc w:val="left"/>
        <w:rPr>
          <w:rFonts w:cs="Arial" w:asciiTheme="minorEastAsia" w:hAnsiTheme="minorEastAsia" w:eastAsiaTheme="minorEastAsia"/>
          <w:b/>
          <w:bCs/>
          <w:szCs w:val="21"/>
        </w:rPr>
      </w:pPr>
      <w:r>
        <w:rPr>
          <w:rFonts w:hint="eastAsia" w:cs="Arial" w:asciiTheme="minorEastAsia" w:hAnsiTheme="minorEastAsia" w:eastAsiaTheme="minorEastAsia"/>
          <w:b/>
          <w:bCs/>
          <w:szCs w:val="21"/>
        </w:rPr>
        <w:t>联系电话：</w:t>
      </w:r>
    </w:p>
    <w:p w14:paraId="4E2838E1">
      <w:pPr>
        <w:spacing w:line="360" w:lineRule="auto"/>
        <w:jc w:val="left"/>
        <w:rPr>
          <w:rFonts w:cs="Arial" w:asciiTheme="minorEastAsia" w:hAnsiTheme="minorEastAsia" w:eastAsiaTheme="minorEastAsia"/>
          <w:b/>
          <w:bCs/>
          <w:szCs w:val="21"/>
        </w:rPr>
      </w:pPr>
      <w:r>
        <w:rPr>
          <w:rFonts w:hint="eastAsia" w:cs="Arial" w:asciiTheme="minorEastAsia" w:hAnsiTheme="minorEastAsia" w:eastAsiaTheme="minorEastAsia"/>
          <w:b/>
          <w:bCs/>
          <w:szCs w:val="21"/>
        </w:rPr>
        <w:t>【年月日时分之前不得启封。】</w:t>
      </w:r>
    </w:p>
    <w:p w14:paraId="22CE0FF5">
      <w:pPr>
        <w:spacing w:line="360" w:lineRule="auto"/>
        <w:jc w:val="left"/>
        <w:rPr>
          <w:rFonts w:cs="Arial" w:asciiTheme="minorEastAsia" w:hAnsiTheme="minorEastAsia" w:eastAsiaTheme="minorEastAsia"/>
          <w:bCs/>
          <w:szCs w:val="21"/>
        </w:rPr>
      </w:pPr>
    </w:p>
    <w:p w14:paraId="761883BD">
      <w:pPr>
        <w:spacing w:line="360" w:lineRule="auto"/>
        <w:jc w:val="left"/>
        <w:rPr>
          <w:rFonts w:cs="Arial" w:asciiTheme="minorEastAsia" w:hAnsiTheme="minorEastAsia" w:eastAsiaTheme="minorEastAsia"/>
          <w:bCs/>
          <w:szCs w:val="21"/>
        </w:rPr>
      </w:pPr>
      <w:r>
        <w:rPr>
          <w:rFonts w:hint="eastAsia" w:cs="Arial" w:asciiTheme="minorEastAsia" w:hAnsiTheme="minorEastAsia" w:eastAsiaTheme="minorEastAsia"/>
          <w:bCs/>
          <w:szCs w:val="21"/>
        </w:rPr>
        <w:t>备注：本封条应粘贴在投标文件/开标一览表的密封袋封面。</w:t>
      </w:r>
    </w:p>
    <w:p w14:paraId="6C596BC3">
      <w:pPr>
        <w:spacing w:line="360" w:lineRule="auto"/>
        <w:rPr>
          <w:rFonts w:cs="Arial" w:asciiTheme="minorEastAsia" w:hAnsiTheme="minorEastAsia" w:eastAsiaTheme="minorEastAsia"/>
          <w:bCs/>
          <w:szCs w:val="21"/>
        </w:rPr>
      </w:pPr>
    </w:p>
    <w:p w14:paraId="1EB59CA9">
      <w:pPr>
        <w:widowControl/>
        <w:spacing w:line="360" w:lineRule="auto"/>
        <w:jc w:val="left"/>
        <w:rPr>
          <w:rFonts w:asciiTheme="minorEastAsia" w:hAnsiTheme="minorEastAsia" w:eastAsiaTheme="minorEastAsia"/>
          <w:b/>
          <w:bCs/>
          <w:szCs w:val="21"/>
        </w:rPr>
      </w:pPr>
      <w:bookmarkStart w:id="248" w:name="_Toc480447820"/>
      <w:r>
        <w:rPr>
          <w:rFonts w:hint="eastAsia" w:asciiTheme="minorEastAsia" w:hAnsiTheme="minorEastAsia" w:eastAsiaTheme="minorEastAsia"/>
          <w:szCs w:val="21"/>
        </w:rPr>
        <w:br w:type="page"/>
      </w:r>
    </w:p>
    <w:bookmarkEnd w:id="248"/>
    <w:p w14:paraId="14A92B6C">
      <w:pPr>
        <w:spacing w:line="360" w:lineRule="auto"/>
        <w:jc w:val="center"/>
        <w:outlineLvl w:val="2"/>
        <w:rPr>
          <w:rFonts w:asciiTheme="minorEastAsia" w:hAnsiTheme="minorEastAsia" w:eastAsiaTheme="minorEastAsia"/>
          <w:bCs/>
          <w:szCs w:val="21"/>
        </w:rPr>
      </w:pPr>
      <w:bookmarkStart w:id="249" w:name="_Toc1193335442"/>
      <w:r>
        <w:rPr>
          <w:rFonts w:hint="eastAsia" w:asciiTheme="minorEastAsia" w:hAnsiTheme="minorEastAsia" w:eastAsiaTheme="minorEastAsia"/>
          <w:szCs w:val="21"/>
        </w:rPr>
        <w:t>2、目  录</w:t>
      </w:r>
      <w:bookmarkEnd w:id="249"/>
    </w:p>
    <w:p w14:paraId="55788A78">
      <w:pPr>
        <w:spacing w:line="360" w:lineRule="auto"/>
        <w:rPr>
          <w:rFonts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一、政府采购违法行为风险知悉确认书</w:t>
      </w:r>
    </w:p>
    <w:p w14:paraId="4345E58B">
      <w:pPr>
        <w:spacing w:line="360" w:lineRule="auto"/>
        <w:rPr>
          <w:rFonts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二、近三年内（投标人成立不足三年的可从成立之日起算）无重大违法犯罪记录和不存在处于被禁止参与政府采购活动期限内情形等的书面声明</w:t>
      </w:r>
    </w:p>
    <w:p w14:paraId="76806A87">
      <w:pPr>
        <w:spacing w:line="360" w:lineRule="auto"/>
        <w:rPr>
          <w:rFonts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三、</w:t>
      </w:r>
      <w:r>
        <w:rPr>
          <w:rFonts w:hint="eastAsia" w:asciiTheme="minorEastAsia" w:hAnsiTheme="minorEastAsia" w:eastAsiaTheme="minorEastAsia"/>
          <w:szCs w:val="21"/>
        </w:rPr>
        <w:t>对投标文件的真实性承诺</w:t>
      </w:r>
    </w:p>
    <w:p w14:paraId="0C943896">
      <w:pPr>
        <w:spacing w:line="360" w:lineRule="auto"/>
        <w:rPr>
          <w:rFonts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四、法定代表人资格证明书</w:t>
      </w:r>
    </w:p>
    <w:p w14:paraId="0523B4B9">
      <w:pPr>
        <w:spacing w:line="360" w:lineRule="auto"/>
        <w:rPr>
          <w:rFonts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五、法定代表人授权书</w:t>
      </w:r>
    </w:p>
    <w:p w14:paraId="490BEDCB">
      <w:pPr>
        <w:spacing w:line="360" w:lineRule="auto"/>
        <w:rPr>
          <w:rFonts w:hint="eastAsia"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六、投标函</w:t>
      </w:r>
    </w:p>
    <w:p w14:paraId="66D6CD90">
      <w:pPr>
        <w:spacing w:line="360" w:lineRule="auto"/>
        <w:rPr>
          <w:rFonts w:hint="eastAsia" w:eastAsiaTheme="minorEastAsia"/>
          <w:lang w:eastAsia="zh-CN"/>
        </w:rPr>
      </w:pPr>
      <w:r>
        <w:rPr>
          <w:rFonts w:hint="eastAsia" w:asciiTheme="minorEastAsia" w:hAnsiTheme="minorEastAsia" w:eastAsiaTheme="minorEastAsia"/>
          <w:bCs/>
          <w:snapToGrid w:val="0"/>
          <w:kern w:val="0"/>
          <w:szCs w:val="21"/>
        </w:rPr>
        <w:t>七、</w:t>
      </w:r>
      <w:r>
        <w:rPr>
          <w:rFonts w:hint="eastAsia" w:asciiTheme="minorEastAsia" w:hAnsiTheme="minorEastAsia" w:eastAsiaTheme="minorEastAsia"/>
          <w:bCs/>
          <w:snapToGrid w:val="0"/>
          <w:kern w:val="0"/>
          <w:szCs w:val="21"/>
          <w:lang w:eastAsia="zh-CN"/>
        </w:rPr>
        <w:t>开标一览表</w:t>
      </w:r>
    </w:p>
    <w:p w14:paraId="43D8321F">
      <w:pPr>
        <w:spacing w:line="360" w:lineRule="auto"/>
        <w:rPr>
          <w:rFonts w:hint="eastAsia" w:asciiTheme="minorEastAsia" w:hAnsiTheme="minorEastAsia" w:eastAsiaTheme="minorEastAsia"/>
          <w:bCs/>
          <w:snapToGrid w:val="0"/>
          <w:kern w:val="0"/>
          <w:szCs w:val="21"/>
          <w:lang w:eastAsia="zh-CN"/>
        </w:rPr>
      </w:pPr>
      <w:r>
        <w:rPr>
          <w:rFonts w:hint="eastAsia" w:asciiTheme="minorEastAsia" w:hAnsiTheme="minorEastAsia" w:eastAsiaTheme="minorEastAsia"/>
          <w:bCs/>
          <w:snapToGrid w:val="0"/>
          <w:kern w:val="0"/>
          <w:szCs w:val="21"/>
        </w:rPr>
        <w:t>七、供应商</w:t>
      </w:r>
      <w:r>
        <w:rPr>
          <w:rFonts w:hint="eastAsia" w:asciiTheme="minorEastAsia" w:hAnsiTheme="minorEastAsia" w:eastAsiaTheme="minorEastAsia"/>
          <w:bCs/>
          <w:snapToGrid w:val="0"/>
          <w:kern w:val="0"/>
          <w:szCs w:val="21"/>
          <w:lang w:eastAsia="zh-CN"/>
        </w:rPr>
        <w:t>基本情况表</w:t>
      </w:r>
    </w:p>
    <w:p w14:paraId="1C6E847E">
      <w:pPr>
        <w:spacing w:line="360" w:lineRule="auto"/>
        <w:rPr>
          <w:rFonts w:hint="eastAsia"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rPr>
        <w:t>八、资格要求证明文件</w:t>
      </w:r>
      <w:r>
        <w:rPr>
          <w:rFonts w:hint="eastAsia" w:asciiTheme="minorEastAsia" w:hAnsiTheme="minorEastAsia" w:eastAsiaTheme="minorEastAsia"/>
          <w:bCs/>
          <w:snapToGrid w:val="0"/>
          <w:kern w:val="0"/>
          <w:szCs w:val="21"/>
          <w:lang w:eastAsia="zh-CN"/>
        </w:rPr>
        <w:t>及</w:t>
      </w:r>
      <w:r>
        <w:rPr>
          <w:rFonts w:hint="eastAsia" w:asciiTheme="minorEastAsia" w:hAnsiTheme="minorEastAsia" w:eastAsiaTheme="minorEastAsia"/>
          <w:bCs/>
          <w:snapToGrid w:val="0"/>
          <w:kern w:val="0"/>
          <w:szCs w:val="21"/>
        </w:rPr>
        <w:t>截图</w:t>
      </w:r>
    </w:p>
    <w:p w14:paraId="6CDBD9C4">
      <w:pPr>
        <w:spacing w:line="360" w:lineRule="auto"/>
        <w:rPr>
          <w:rFonts w:hint="eastAsia" w:asciiTheme="minorEastAsia" w:hAnsiTheme="minorEastAsia" w:eastAsiaTheme="minorEastAsia"/>
          <w:bCs/>
          <w:snapToGrid w:val="0"/>
          <w:kern w:val="0"/>
          <w:szCs w:val="21"/>
          <w:lang w:eastAsia="zh-CN"/>
        </w:rPr>
      </w:pPr>
      <w:r>
        <w:rPr>
          <w:rFonts w:hint="eastAsia" w:asciiTheme="minorEastAsia" w:hAnsiTheme="minorEastAsia" w:eastAsiaTheme="minorEastAsia"/>
          <w:bCs/>
          <w:snapToGrid w:val="0"/>
          <w:kern w:val="0"/>
          <w:szCs w:val="21"/>
          <w:lang w:eastAsia="zh-CN"/>
        </w:rPr>
        <w:t>九</w:t>
      </w:r>
      <w:r>
        <w:rPr>
          <w:rFonts w:hint="eastAsia" w:asciiTheme="minorEastAsia" w:hAnsiTheme="minorEastAsia" w:eastAsiaTheme="minorEastAsia"/>
          <w:bCs/>
          <w:snapToGrid w:val="0"/>
          <w:kern w:val="0"/>
          <w:szCs w:val="21"/>
        </w:rPr>
        <w:t>、招标采购实施方案（包括招标代理服务的总体实施、采购文件编制、供应商质疑处理、开评标等方面的方案</w:t>
      </w:r>
      <w:r>
        <w:rPr>
          <w:rFonts w:hint="eastAsia" w:asciiTheme="minorEastAsia" w:hAnsiTheme="minorEastAsia" w:eastAsiaTheme="minorEastAsia"/>
          <w:bCs/>
          <w:snapToGrid w:val="0"/>
          <w:kern w:val="0"/>
          <w:szCs w:val="21"/>
          <w:lang w:eastAsia="zh-CN"/>
        </w:rPr>
        <w:t>）</w:t>
      </w:r>
      <w:r>
        <w:rPr>
          <w:rFonts w:hint="eastAsia" w:asciiTheme="minorEastAsia" w:hAnsiTheme="minorEastAsia" w:eastAsiaTheme="minorEastAsia"/>
          <w:bCs/>
          <w:snapToGrid w:val="0"/>
          <w:kern w:val="0"/>
          <w:szCs w:val="21"/>
        </w:rPr>
        <w:t>及项目重点难点分析、应对措施及相关的合理化建议</w:t>
      </w:r>
    </w:p>
    <w:p w14:paraId="2D9F28AE">
      <w:pPr>
        <w:spacing w:line="360" w:lineRule="auto"/>
        <w:rPr>
          <w:rFonts w:asciiTheme="minorEastAsia" w:hAnsiTheme="minorEastAsia" w:eastAsiaTheme="minorEastAsia"/>
          <w:bCs/>
          <w:snapToGrid w:val="0"/>
          <w:kern w:val="0"/>
          <w:szCs w:val="21"/>
        </w:rPr>
      </w:pPr>
      <w:r>
        <w:rPr>
          <w:rFonts w:hint="eastAsia" w:asciiTheme="minorEastAsia" w:hAnsiTheme="minorEastAsia" w:eastAsiaTheme="minorEastAsia"/>
          <w:bCs/>
          <w:snapToGrid w:val="0"/>
          <w:kern w:val="0"/>
          <w:szCs w:val="21"/>
          <w:lang w:eastAsia="zh-CN"/>
        </w:rPr>
        <w:t>十</w:t>
      </w:r>
      <w:r>
        <w:rPr>
          <w:rFonts w:hint="eastAsia" w:asciiTheme="minorEastAsia" w:hAnsiTheme="minorEastAsia" w:eastAsiaTheme="minorEastAsia"/>
          <w:bCs/>
          <w:snapToGrid w:val="0"/>
          <w:kern w:val="0"/>
          <w:szCs w:val="21"/>
        </w:rPr>
        <w:t>、</w:t>
      </w:r>
      <w:r>
        <w:rPr>
          <w:rFonts w:hint="eastAsia" w:asciiTheme="minorEastAsia" w:hAnsiTheme="minorEastAsia" w:eastAsiaTheme="minorEastAsia"/>
          <w:szCs w:val="21"/>
        </w:rPr>
        <w:t>质量保障措施及方案（内部质量管控措施）</w:t>
      </w:r>
    </w:p>
    <w:p w14:paraId="11F2D3F0">
      <w:pPr>
        <w:spacing w:line="360" w:lineRule="auto"/>
        <w:rPr>
          <w:rFonts w:hint="eastAsia" w:asciiTheme="minorEastAsia" w:hAnsiTheme="minorEastAsia" w:eastAsiaTheme="minorEastAsia"/>
          <w:szCs w:val="21"/>
          <w:lang w:eastAsia="zh-CN"/>
        </w:rPr>
      </w:pPr>
      <w:r>
        <w:rPr>
          <w:rFonts w:hint="eastAsia" w:asciiTheme="minorEastAsia" w:hAnsiTheme="minorEastAsia" w:eastAsiaTheme="minorEastAsia"/>
          <w:bCs/>
          <w:snapToGrid w:val="0"/>
          <w:kern w:val="0"/>
          <w:szCs w:val="21"/>
          <w:lang w:eastAsia="zh-CN"/>
        </w:rPr>
        <w:t>十一</w:t>
      </w:r>
      <w:r>
        <w:rPr>
          <w:rFonts w:hint="eastAsia" w:asciiTheme="minorEastAsia" w:hAnsiTheme="minorEastAsia" w:eastAsiaTheme="minorEastAsia"/>
          <w:bCs/>
          <w:snapToGrid w:val="0"/>
          <w:kern w:val="0"/>
          <w:szCs w:val="21"/>
        </w:rPr>
        <w:t>、</w:t>
      </w:r>
      <w:r>
        <w:rPr>
          <w:rFonts w:hint="eastAsia" w:asciiTheme="minorEastAsia" w:hAnsiTheme="minorEastAsia" w:eastAsiaTheme="minorEastAsia"/>
          <w:szCs w:val="21"/>
        </w:rPr>
        <w:t>拟安排的项目负责人情况及项目团队成员</w:t>
      </w:r>
      <w:r>
        <w:rPr>
          <w:rFonts w:hint="eastAsia" w:asciiTheme="minorEastAsia" w:hAnsiTheme="minorEastAsia" w:eastAsiaTheme="minorEastAsia"/>
          <w:szCs w:val="21"/>
          <w:lang w:eastAsia="zh-CN"/>
        </w:rPr>
        <w:t>情况</w:t>
      </w:r>
    </w:p>
    <w:p w14:paraId="5E60F203">
      <w:pPr>
        <w:spacing w:line="360" w:lineRule="auto"/>
        <w:rPr>
          <w:rFonts w:hint="eastAsia" w:asciiTheme="minorEastAsia" w:hAnsiTheme="minorEastAsia" w:eastAsiaTheme="minorEastAsia"/>
          <w:szCs w:val="21"/>
          <w:lang w:eastAsia="zh-CN"/>
        </w:rPr>
      </w:pPr>
      <w:r>
        <w:rPr>
          <w:rFonts w:hint="eastAsia" w:asciiTheme="minorEastAsia" w:hAnsiTheme="minorEastAsia" w:eastAsiaTheme="minorEastAsia"/>
          <w:bCs/>
          <w:snapToGrid w:val="0"/>
          <w:kern w:val="0"/>
          <w:szCs w:val="21"/>
        </w:rPr>
        <w:t>十</w:t>
      </w:r>
      <w:r>
        <w:rPr>
          <w:rFonts w:hint="eastAsia" w:asciiTheme="minorEastAsia" w:hAnsiTheme="minorEastAsia" w:eastAsiaTheme="minorEastAsia"/>
          <w:bCs/>
          <w:snapToGrid w:val="0"/>
          <w:kern w:val="0"/>
          <w:szCs w:val="21"/>
          <w:lang w:eastAsia="zh-CN"/>
        </w:rPr>
        <w:t>二</w:t>
      </w:r>
      <w:r>
        <w:rPr>
          <w:rFonts w:hint="eastAsia" w:asciiTheme="minorEastAsia" w:hAnsiTheme="minorEastAsia" w:eastAsiaTheme="minorEastAsia"/>
          <w:bCs/>
          <w:snapToGrid w:val="0"/>
          <w:kern w:val="0"/>
          <w:szCs w:val="21"/>
        </w:rPr>
        <w:t>、</w:t>
      </w:r>
      <w:r>
        <w:rPr>
          <w:rFonts w:hint="eastAsia" w:cs="宋体" w:asciiTheme="minorEastAsia" w:hAnsiTheme="minorEastAsia" w:eastAsiaTheme="minorEastAsia"/>
          <w:kern w:val="0"/>
          <w:szCs w:val="21"/>
        </w:rPr>
        <w:t>同类有效业绩</w:t>
      </w:r>
      <w:r>
        <w:rPr>
          <w:rFonts w:hint="eastAsia" w:cs="宋体" w:asciiTheme="minorEastAsia" w:hAnsiTheme="minorEastAsia" w:eastAsiaTheme="minorEastAsia"/>
          <w:kern w:val="0"/>
          <w:szCs w:val="21"/>
          <w:lang w:eastAsia="zh-CN"/>
        </w:rPr>
        <w:t>情况</w:t>
      </w:r>
    </w:p>
    <w:p w14:paraId="52E780F7">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十</w:t>
      </w:r>
      <w:r>
        <w:rPr>
          <w:rFonts w:hint="eastAsia" w:cs="宋体" w:asciiTheme="minorEastAsia" w:hAnsiTheme="minorEastAsia" w:eastAsiaTheme="minorEastAsia"/>
          <w:szCs w:val="21"/>
          <w:lang w:eastAsia="zh-CN"/>
        </w:rPr>
        <w:t>三</w:t>
      </w:r>
      <w:r>
        <w:rPr>
          <w:rFonts w:hint="eastAsia" w:asciiTheme="minorEastAsia" w:hAnsiTheme="minorEastAsia" w:eastAsiaTheme="minorEastAsia"/>
          <w:szCs w:val="21"/>
        </w:rPr>
        <w:t>、评标场地情况</w:t>
      </w:r>
    </w:p>
    <w:p w14:paraId="71392473">
      <w:pPr>
        <w:spacing w:line="360" w:lineRule="auto"/>
        <w:rPr>
          <w:rFonts w:hint="eastAsia" w:eastAsiaTheme="minorEastAsia"/>
          <w:lang w:eastAsia="zh-CN"/>
        </w:rPr>
      </w:pPr>
      <w:r>
        <w:rPr>
          <w:rFonts w:hint="eastAsia" w:asciiTheme="minorEastAsia" w:hAnsiTheme="minorEastAsia" w:eastAsiaTheme="minorEastAsia"/>
          <w:szCs w:val="21"/>
        </w:rPr>
        <w:t>十</w:t>
      </w:r>
      <w:r>
        <w:rPr>
          <w:rFonts w:hint="eastAsia" w:asciiTheme="minorEastAsia" w:hAnsiTheme="minorEastAsia" w:eastAsiaTheme="minorEastAsia"/>
          <w:szCs w:val="21"/>
          <w:lang w:eastAsia="zh-CN"/>
        </w:rPr>
        <w:t>四</w:t>
      </w:r>
      <w:r>
        <w:rPr>
          <w:rFonts w:hint="eastAsia" w:asciiTheme="minorEastAsia" w:hAnsiTheme="minorEastAsia" w:eastAsiaTheme="minorEastAsia"/>
          <w:szCs w:val="21"/>
        </w:rPr>
        <w:t>、</w:t>
      </w:r>
      <w:r>
        <w:rPr>
          <w:rFonts w:hint="eastAsia" w:asciiTheme="minorEastAsia" w:hAnsiTheme="minorEastAsia" w:eastAsiaTheme="minorEastAsia"/>
          <w:szCs w:val="21"/>
          <w:lang w:eastAsia="zh-CN"/>
        </w:rPr>
        <w:t>商务要求满足情况</w:t>
      </w:r>
    </w:p>
    <w:p w14:paraId="3D9F1140">
      <w:pPr>
        <w:spacing w:line="360" w:lineRule="auto"/>
        <w:rPr>
          <w:rFonts w:asciiTheme="minorEastAsia" w:hAnsiTheme="minorEastAsia" w:eastAsiaTheme="minorEastAsia"/>
          <w:bCs/>
          <w:snapToGrid w:val="0"/>
          <w:kern w:val="0"/>
          <w:szCs w:val="21"/>
        </w:rPr>
      </w:pPr>
      <w:r>
        <w:rPr>
          <w:rFonts w:hint="eastAsia" w:asciiTheme="minorEastAsia" w:hAnsiTheme="minorEastAsia" w:eastAsiaTheme="minorEastAsia"/>
          <w:szCs w:val="21"/>
        </w:rPr>
        <w:t>十</w:t>
      </w:r>
      <w:r>
        <w:rPr>
          <w:rFonts w:hint="eastAsia" w:asciiTheme="minorEastAsia" w:hAnsiTheme="minorEastAsia" w:eastAsiaTheme="minorEastAsia"/>
          <w:szCs w:val="21"/>
          <w:lang w:eastAsia="zh-CN"/>
        </w:rPr>
        <w:t>五</w:t>
      </w:r>
      <w:r>
        <w:rPr>
          <w:rFonts w:hint="eastAsia" w:asciiTheme="minorEastAsia" w:hAnsiTheme="minorEastAsia" w:eastAsiaTheme="minorEastAsia"/>
          <w:szCs w:val="21"/>
        </w:rPr>
        <w:t>、招标文件要求的其他内容及投标人认为需要加以说明其他内容</w:t>
      </w:r>
    </w:p>
    <w:p w14:paraId="455ACE42">
      <w:pPr>
        <w:spacing w:before="120" w:after="120" w:line="360" w:lineRule="auto"/>
        <w:jc w:val="center"/>
        <w:rPr>
          <w:rFonts w:asciiTheme="minorEastAsia" w:hAnsiTheme="minorEastAsia" w:eastAsiaTheme="minorEastAsia"/>
          <w:szCs w:val="21"/>
        </w:rPr>
      </w:pPr>
      <w:bookmarkStart w:id="250" w:name="_Toc480447821"/>
      <w:r>
        <w:rPr>
          <w:rFonts w:hint="eastAsia" w:asciiTheme="minorEastAsia" w:hAnsiTheme="minorEastAsia" w:eastAsiaTheme="minorEastAsia"/>
          <w:szCs w:val="21"/>
        </w:rPr>
        <w:br w:type="page"/>
      </w:r>
    </w:p>
    <w:bookmarkEnd w:id="250"/>
    <w:p w14:paraId="36C26B1B">
      <w:pPr>
        <w:pStyle w:val="4"/>
        <w:spacing w:line="360" w:lineRule="auto"/>
        <w:jc w:val="center"/>
        <w:rPr>
          <w:rFonts w:asciiTheme="minorEastAsia" w:hAnsiTheme="minorEastAsia" w:eastAsiaTheme="minorEastAsia"/>
          <w:sz w:val="21"/>
          <w:szCs w:val="21"/>
        </w:rPr>
      </w:pPr>
      <w:bookmarkStart w:id="251" w:name="_Toc505557530"/>
      <w:r>
        <w:rPr>
          <w:rFonts w:hint="eastAsia" w:asciiTheme="minorEastAsia" w:hAnsiTheme="minorEastAsia" w:eastAsiaTheme="minorEastAsia"/>
          <w:sz w:val="21"/>
          <w:szCs w:val="21"/>
        </w:rPr>
        <w:t>3、政府采购违法行为风险知悉确认书</w:t>
      </w:r>
      <w:bookmarkEnd w:id="251"/>
    </w:p>
    <w:p w14:paraId="757F761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heme="minorEastAsia" w:hAnsiTheme="minorEastAsia" w:eastAsiaTheme="minorEastAsia"/>
          <w:b/>
          <w:szCs w:val="21"/>
          <w:lang w:val="en-US" w:eastAsia="zh-CN"/>
        </w:rPr>
      </w:pPr>
      <w:r>
        <w:rPr>
          <w:rFonts w:hint="eastAsia" w:asciiTheme="minorEastAsia" w:hAnsiTheme="minorEastAsia" w:eastAsiaTheme="minorEastAsia"/>
          <w:b/>
          <w:szCs w:val="21"/>
        </w:rPr>
        <w:t>致</w:t>
      </w:r>
      <w:r>
        <w:rPr>
          <w:rFonts w:hint="eastAsia" w:asciiTheme="minorEastAsia" w:hAnsiTheme="minorEastAsia" w:eastAsiaTheme="minorEastAsia"/>
          <w:b/>
          <w:kern w:val="0"/>
          <w:szCs w:val="21"/>
        </w:rPr>
        <w:t>：</w:t>
      </w:r>
      <w:r>
        <w:rPr>
          <w:rFonts w:hint="eastAsia" w:asciiTheme="minorEastAsia" w:hAnsiTheme="minorEastAsia" w:eastAsiaTheme="minorEastAsia"/>
          <w:b/>
          <w:kern w:val="0"/>
          <w:szCs w:val="21"/>
          <w:lang w:val="en-US" w:eastAsia="zh-CN"/>
        </w:rPr>
        <w:t>深圳市科技创新战略研究中心（深圳虚拟大学园管理服务中心）</w:t>
      </w:r>
    </w:p>
    <w:p w14:paraId="6154643B">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本公司在投标前已充分知悉以下情形为参与政府采购活动时的重大风险事项，并承诺已对下述风险提示事项重点排查，做到严谨、诚信、依法依规参与政府采购活动。</w:t>
      </w:r>
    </w:p>
    <w:p w14:paraId="20268A83">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一、本公司已充分知悉“隐瞒真实情况，提供虚假资料”的法定情形，相关情形包括但不限于：</w:t>
      </w:r>
    </w:p>
    <w:p w14:paraId="6C1FF2C6">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（一）通过转让或者租借等方式从其他单位获取资格或者资质证书投标的。</w:t>
      </w:r>
    </w:p>
    <w:p w14:paraId="2144AF5C">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（二）由其他单位或者其他单位负责人在投标供应商编制的投标文件上加盖印章或者签字的。</w:t>
      </w:r>
    </w:p>
    <w:p w14:paraId="490EFCF6">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（三）项目负责人或者主要技术人员不是本单位人员的。</w:t>
      </w:r>
    </w:p>
    <w:p w14:paraId="3B8F4C82">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（四）投标保证金不是从投标供应商基本账户转出的。</w:t>
      </w:r>
    </w:p>
    <w:p w14:paraId="609FB97A">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（五）其他隐瞒真实情况、提供虚假资料的行为。</w:t>
      </w:r>
    </w:p>
    <w:p w14:paraId="25E356F8">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二、本公司已充分知悉“与其他采购参加人串通投标”的法定情形，相关情形包括但不限于：</w:t>
      </w:r>
    </w:p>
    <w:p w14:paraId="7451A164">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（一）投标供应商之间相互约定给予未中标的供应商利益补偿。</w:t>
      </w:r>
    </w:p>
    <w:p w14:paraId="50B3B265">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（二）不同投标供应商的法定代表人、主要经营负责人、项目投标授权代表人、项目负责人、主要技术人员为同一人、属同一单位或者在同一单位缴纳社会保险。</w:t>
      </w:r>
    </w:p>
    <w:p w14:paraId="2144CF80">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（三）不同投标供应商的投标文件由同一单位或者同一人编制，或者由同一人分阶段参与编制的。</w:t>
      </w:r>
    </w:p>
    <w:p w14:paraId="5FFD34A0">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（四）不同投标供应商的投标文件或部分投标文件相互混装。</w:t>
      </w:r>
    </w:p>
    <w:p w14:paraId="25E4B79D">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（五）不同投标供应商的投标文件内容存在非正常一致。</w:t>
      </w:r>
    </w:p>
    <w:p w14:paraId="3025D6CD">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（六）由同一单位工作人员为两家以上（含两家）供应商进行同一项投标活动的。</w:t>
      </w:r>
    </w:p>
    <w:p w14:paraId="2B735DC0">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（七）不同投标人的投标报价呈规律性差异。</w:t>
      </w:r>
    </w:p>
    <w:p w14:paraId="560AC92C">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（八）不同投标人的投标保证金从同一单位或者个人的账户转出。</w:t>
      </w:r>
    </w:p>
    <w:p w14:paraId="74DAA273">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（九）主管部门依照法律、法规认定的其他情形。</w:t>
      </w:r>
    </w:p>
    <w:p w14:paraId="5D393F23">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三、本公司已充分知悉下列情形所对应的法律风险，并在投标前已对相关风险事项进行排查。</w:t>
      </w:r>
    </w:p>
    <w:p w14:paraId="01E8E00C">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（一）对于从其他主体获取的投标资料，供应商应审慎核查， 确保投标资料的真实性。</w:t>
      </w:r>
      <w:r>
        <w:rPr>
          <w:rFonts w:hint="eastAsia" w:asciiTheme="minorEastAsia" w:hAnsiTheme="minorEastAsia" w:eastAsiaTheme="minorEastAsia" w:cstheme="minorEastAsia"/>
          <w:b/>
          <w:bCs/>
          <w:sz w:val="21"/>
          <w:szCs w:val="21"/>
        </w:rPr>
        <w:t>如主管部门查实投标文件中存在虚假资料的，无论相关资料是否由第三方或本公司员工提供，均不影响主管部门对供应商存在“隐瞒真实情况，提供虚假资料”违法行为的认定。</w:t>
      </w:r>
    </w:p>
    <w:p w14:paraId="55DBC0EF">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（二）对于涉及国家机关出具的公文、证件、证明材料等文件，一旦涉嫌虚假，经查实，主管部门将依法从严处理，并移送有关部门追究法律责任；涉嫌犯罪的，主管部门将一并移送司法机关追究法律责任。</w:t>
      </w:r>
    </w:p>
    <w:p w14:paraId="696D5F26">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（三）对于涉及安全生产、特种作业、抢险救灾、防疫等政府采购项目，供应商实施提供虚假资料、串通投标等违法行为的，主管部门将依法从严处理。</w:t>
      </w:r>
    </w:p>
    <w:p w14:paraId="50CC202A">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13274C4F">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1249178E">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4FAF8BA5">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四、本公司已充分知悉政府采购违法、违规行为的法律后果。</w:t>
      </w:r>
      <w:r>
        <w:rPr>
          <w:rFonts w:hint="eastAsia" w:asciiTheme="minorEastAsia" w:hAnsiTheme="minorEastAsia" w:eastAsiaTheme="minorEastAsia" w:cstheme="minorEastAsia"/>
          <w:sz w:val="21"/>
          <w:szCs w:val="21"/>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14522D18">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以下文字请投标供应商抄写并确认：“本公司已仔细阅读《政府采购违法行为风险知悉确认书》，充分知悉违法行为的法律后果，并承诺将严谨、诚信、依法依规参与政府采购活动”。</w:t>
      </w:r>
    </w:p>
    <w:p w14:paraId="7349348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sz w:val="21"/>
          <w:szCs w:val="21"/>
        </w:rPr>
      </w:pPr>
    </w:p>
    <w:p w14:paraId="2915490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w:t>
      </w:r>
    </w:p>
    <w:p w14:paraId="141A0E2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u w:val="single"/>
          <w:lang w:val="en-US" w:eastAsia="zh-CN"/>
        </w:rPr>
        <w:t xml:space="preserve">                                                                                              </w:t>
      </w:r>
    </w:p>
    <w:p w14:paraId="4375B81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lang w:val="en-US" w:eastAsia="zh-CN"/>
        </w:rPr>
        <w:t xml:space="preserve">                                                                                               </w:t>
      </w:r>
    </w:p>
    <w:p w14:paraId="2EB88F7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lang w:val="en-US" w:eastAsia="zh-CN"/>
        </w:rPr>
        <w:t xml:space="preserve">                                                                                             </w:t>
      </w:r>
    </w:p>
    <w:p w14:paraId="6448D7A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lang w:val="en-US" w:eastAsia="zh-CN"/>
        </w:rPr>
        <w:t xml:space="preserve">                                                                                                 </w:t>
      </w:r>
    </w:p>
    <w:p w14:paraId="196DE0D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sz w:val="21"/>
          <w:szCs w:val="21"/>
        </w:rPr>
      </w:pPr>
    </w:p>
    <w:p w14:paraId="286C2D9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sz w:val="21"/>
          <w:szCs w:val="21"/>
        </w:rPr>
      </w:pPr>
    </w:p>
    <w:p w14:paraId="01FCC555">
      <w:pPr>
        <w:keepNext w:val="0"/>
        <w:keepLines w:val="0"/>
        <w:pageBreakBefore w:val="0"/>
        <w:widowControl w:val="0"/>
        <w:kinsoku/>
        <w:wordWrap/>
        <w:overflowPunct/>
        <w:topLinePunct w:val="0"/>
        <w:autoSpaceDE/>
        <w:autoSpaceDN/>
        <w:bidi w:val="0"/>
        <w:adjustRightInd/>
        <w:snapToGrid/>
        <w:spacing w:line="480" w:lineRule="exact"/>
        <w:ind w:firstLine="4620" w:firstLineChars="2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负责人/投标授权代表签名： </w:t>
      </w:r>
    </w:p>
    <w:p w14:paraId="47218E38">
      <w:pPr>
        <w:keepNext w:val="0"/>
        <w:keepLines w:val="0"/>
        <w:pageBreakBefore w:val="0"/>
        <w:widowControl w:val="0"/>
        <w:kinsoku/>
        <w:wordWrap/>
        <w:overflowPunct/>
        <w:topLinePunct w:val="0"/>
        <w:autoSpaceDE/>
        <w:autoSpaceDN/>
        <w:bidi w:val="0"/>
        <w:adjustRightInd/>
        <w:snapToGrid/>
        <w:spacing w:line="480" w:lineRule="exact"/>
        <w:ind w:firstLine="4620" w:firstLineChars="2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知悉人（公章）：</w:t>
      </w:r>
    </w:p>
    <w:p w14:paraId="6CE59828">
      <w:pPr>
        <w:keepNext w:val="0"/>
        <w:keepLines w:val="0"/>
        <w:pageBreakBefore w:val="0"/>
        <w:widowControl w:val="0"/>
        <w:kinsoku/>
        <w:wordWrap/>
        <w:overflowPunct/>
        <w:topLinePunct w:val="0"/>
        <w:autoSpaceDE/>
        <w:autoSpaceDN/>
        <w:bidi w:val="0"/>
        <w:adjustRightInd/>
        <w:snapToGrid/>
        <w:spacing w:line="480" w:lineRule="exact"/>
        <w:ind w:firstLine="4620" w:firstLineChars="2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w:t>
      </w:r>
    </w:p>
    <w:p w14:paraId="32E24F00">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b/>
          <w:bCs/>
          <w:szCs w:val="21"/>
        </w:rPr>
        <w:br w:type="page"/>
      </w:r>
    </w:p>
    <w:p w14:paraId="0526C21F">
      <w:pPr>
        <w:pStyle w:val="4"/>
        <w:spacing w:line="360" w:lineRule="auto"/>
        <w:jc w:val="center"/>
        <w:rPr>
          <w:rFonts w:asciiTheme="minorEastAsia" w:hAnsiTheme="minorEastAsia" w:eastAsiaTheme="minorEastAsia"/>
          <w:sz w:val="21"/>
          <w:szCs w:val="21"/>
        </w:rPr>
      </w:pPr>
      <w:bookmarkStart w:id="252" w:name="_Toc516563024"/>
      <w:bookmarkStart w:id="253" w:name="_Toc1396902309"/>
      <w:r>
        <w:rPr>
          <w:rFonts w:hint="eastAsia" w:asciiTheme="minorEastAsia" w:hAnsiTheme="minorEastAsia" w:eastAsiaTheme="minorEastAsia"/>
          <w:sz w:val="21"/>
          <w:szCs w:val="21"/>
        </w:rPr>
        <w:t>4、近三年内无重大违法犯罪记录和不存在处于被禁止参与政府采购活动期限内情形等的书面声明</w:t>
      </w:r>
      <w:bookmarkEnd w:id="252"/>
      <w:bookmarkEnd w:id="253"/>
    </w:p>
    <w:p w14:paraId="3AA4A6C2">
      <w:pPr>
        <w:spacing w:line="360" w:lineRule="auto"/>
        <w:ind w:left="420" w:leftChars="200"/>
        <w:jc w:val="center"/>
        <w:rPr>
          <w:rFonts w:asciiTheme="minorEastAsia" w:hAnsiTheme="minorEastAsia" w:eastAsiaTheme="minorEastAsia"/>
          <w:szCs w:val="21"/>
        </w:rPr>
      </w:pPr>
    </w:p>
    <w:p w14:paraId="6128CD9B">
      <w:pPr>
        <w:spacing w:line="360" w:lineRule="auto"/>
        <w:rPr>
          <w:rFonts w:asciiTheme="minorEastAsia" w:hAnsiTheme="minorEastAsia" w:eastAsiaTheme="minorEastAsia"/>
          <w:szCs w:val="21"/>
        </w:rPr>
      </w:pPr>
    </w:p>
    <w:p w14:paraId="52A2D74A">
      <w:pPr>
        <w:spacing w:line="360" w:lineRule="auto"/>
        <w:jc w:val="left"/>
        <w:rPr>
          <w:rFonts w:hint="default" w:asciiTheme="minorEastAsia" w:hAnsiTheme="minorEastAsia" w:eastAsiaTheme="minorEastAsia"/>
          <w:b/>
          <w:szCs w:val="21"/>
          <w:lang w:val="en-US" w:eastAsia="zh-CN"/>
        </w:rPr>
      </w:pPr>
      <w:r>
        <w:rPr>
          <w:rFonts w:hint="eastAsia" w:asciiTheme="minorEastAsia" w:hAnsiTheme="minorEastAsia" w:eastAsiaTheme="minorEastAsia"/>
          <w:b/>
          <w:szCs w:val="21"/>
        </w:rPr>
        <w:t>致</w:t>
      </w:r>
      <w:r>
        <w:rPr>
          <w:rFonts w:hint="eastAsia" w:asciiTheme="minorEastAsia" w:hAnsiTheme="minorEastAsia" w:eastAsiaTheme="minorEastAsia"/>
          <w:b/>
          <w:kern w:val="0"/>
          <w:szCs w:val="21"/>
        </w:rPr>
        <w:t>：</w:t>
      </w:r>
      <w:r>
        <w:rPr>
          <w:rFonts w:hint="eastAsia" w:asciiTheme="minorEastAsia" w:hAnsiTheme="minorEastAsia" w:eastAsiaTheme="minorEastAsia"/>
          <w:b/>
          <w:kern w:val="0"/>
          <w:szCs w:val="21"/>
          <w:lang w:val="en-US" w:eastAsia="zh-CN"/>
        </w:rPr>
        <w:t>深圳市科技创新战略研究中心（深圳虚拟大学园管理服务中心）</w:t>
      </w:r>
    </w:p>
    <w:p w14:paraId="01185320">
      <w:pPr>
        <w:spacing w:line="360" w:lineRule="auto"/>
        <w:ind w:left="420" w:leftChars="200"/>
        <w:jc w:val="left"/>
        <w:rPr>
          <w:rFonts w:asciiTheme="minorEastAsia" w:hAnsiTheme="minorEastAsia" w:eastAsiaTheme="minorEastAsia"/>
          <w:szCs w:val="21"/>
        </w:rPr>
      </w:pPr>
    </w:p>
    <w:p w14:paraId="5014C3F4">
      <w:pPr>
        <w:pStyle w:val="25"/>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在参与贵单位组织的</w:t>
      </w:r>
      <w:r>
        <w:rPr>
          <w:rFonts w:hint="eastAsia" w:asciiTheme="minorEastAsia" w:hAnsiTheme="minorEastAsia" w:eastAsiaTheme="minorEastAsia"/>
          <w:szCs w:val="21"/>
          <w:u w:val="single"/>
        </w:rPr>
        <w:t xml:space="preserve">       （项目名称）     政府</w:t>
      </w:r>
      <w:r>
        <w:rPr>
          <w:rFonts w:hint="eastAsia" w:asciiTheme="minorEastAsia" w:hAnsiTheme="minorEastAsia" w:eastAsiaTheme="minorEastAsia"/>
          <w:szCs w:val="21"/>
        </w:rPr>
        <w:t>采购活动前，我单位</w:t>
      </w:r>
      <w:r>
        <w:rPr>
          <w:rFonts w:hint="eastAsia" w:cs="宋体" w:asciiTheme="minorEastAsia" w:hAnsiTheme="minorEastAsia" w:eastAsiaTheme="minorEastAsia"/>
          <w:kern w:val="0"/>
          <w:szCs w:val="21"/>
        </w:rPr>
        <w:t>参与本项目投标前三年内（即从本项目招标公告发布之日起往前推算36个月），在经营活动中没有重大违法记录，无行贿犯罪记录，参与本项目政府采购活动时不存在被有关部门禁止参与政府采购活动且在有效期内的情况，与其他投标人不存在单位负责人为同一人或者存在直接控股、管理关系。</w:t>
      </w:r>
    </w:p>
    <w:p w14:paraId="2EDA1E99">
      <w:pPr>
        <w:pStyle w:val="25"/>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我单位对该声明的真实性负责，如有不实，自愿接受法律制裁。</w:t>
      </w:r>
    </w:p>
    <w:p w14:paraId="763986E5">
      <w:pPr>
        <w:pStyle w:val="25"/>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特此声明。</w:t>
      </w:r>
    </w:p>
    <w:p w14:paraId="6D2B8997">
      <w:pPr>
        <w:spacing w:line="360" w:lineRule="auto"/>
        <w:ind w:left="420" w:leftChars="200"/>
        <w:jc w:val="left"/>
        <w:rPr>
          <w:rFonts w:asciiTheme="minorEastAsia" w:hAnsiTheme="minorEastAsia" w:eastAsiaTheme="minorEastAsia"/>
          <w:szCs w:val="21"/>
        </w:rPr>
      </w:pPr>
    </w:p>
    <w:p w14:paraId="442CD42B">
      <w:pPr>
        <w:spacing w:line="360" w:lineRule="auto"/>
        <w:ind w:left="-2" w:leftChars="-1" w:firstLine="420"/>
        <w:rPr>
          <w:rFonts w:asciiTheme="minorEastAsia" w:hAnsiTheme="minorEastAsia" w:eastAsiaTheme="minorEastAsia"/>
          <w:bCs/>
          <w:szCs w:val="21"/>
        </w:rPr>
      </w:pPr>
    </w:p>
    <w:p w14:paraId="7290E35E">
      <w:pPr>
        <w:spacing w:line="360" w:lineRule="auto"/>
        <w:ind w:left="-2" w:leftChars="-1" w:firstLine="420"/>
        <w:rPr>
          <w:rFonts w:asciiTheme="minorEastAsia" w:hAnsiTheme="minorEastAsia" w:eastAsiaTheme="minorEastAsia"/>
          <w:bCs/>
          <w:szCs w:val="21"/>
        </w:rPr>
      </w:pPr>
    </w:p>
    <w:p w14:paraId="4B654052">
      <w:pPr>
        <w:spacing w:line="360" w:lineRule="auto"/>
        <w:ind w:firstLine="4620" w:firstLineChars="2200"/>
        <w:jc w:val="left"/>
        <w:rPr>
          <w:rFonts w:asciiTheme="minorEastAsia" w:hAnsiTheme="minorEastAsia" w:eastAsiaTheme="minorEastAsia"/>
          <w:szCs w:val="21"/>
        </w:rPr>
      </w:pPr>
      <w:r>
        <w:rPr>
          <w:rFonts w:hint="eastAsia" w:asciiTheme="minorEastAsia" w:hAnsiTheme="minorEastAsia" w:eastAsiaTheme="minorEastAsia"/>
          <w:szCs w:val="21"/>
        </w:rPr>
        <w:t>法定代表人或其授权代表签名：</w:t>
      </w:r>
    </w:p>
    <w:p w14:paraId="3001B0F3">
      <w:pPr>
        <w:spacing w:line="360" w:lineRule="auto"/>
        <w:rPr>
          <w:rFonts w:asciiTheme="minorEastAsia" w:hAnsiTheme="minorEastAsia" w:eastAsiaTheme="minorEastAsia"/>
          <w:szCs w:val="21"/>
        </w:rPr>
      </w:pPr>
    </w:p>
    <w:p w14:paraId="51F3E43F">
      <w:pPr>
        <w:spacing w:line="360" w:lineRule="auto"/>
        <w:ind w:firstLine="4620" w:firstLineChars="2200"/>
        <w:jc w:val="left"/>
        <w:rPr>
          <w:rFonts w:asciiTheme="minorEastAsia" w:hAnsiTheme="minorEastAsia" w:eastAsiaTheme="minorEastAsia"/>
          <w:szCs w:val="21"/>
        </w:rPr>
      </w:pPr>
      <w:r>
        <w:rPr>
          <w:rFonts w:hint="eastAsia" w:asciiTheme="minorEastAsia" w:hAnsiTheme="minorEastAsia" w:eastAsiaTheme="minorEastAsia"/>
          <w:szCs w:val="21"/>
        </w:rPr>
        <w:t xml:space="preserve">投标单位（公章）： </w:t>
      </w:r>
    </w:p>
    <w:p w14:paraId="55302173">
      <w:pPr>
        <w:spacing w:line="360" w:lineRule="auto"/>
        <w:jc w:val="right"/>
        <w:rPr>
          <w:rFonts w:asciiTheme="minorEastAsia" w:hAnsiTheme="minorEastAsia" w:eastAsiaTheme="minorEastAsia"/>
          <w:szCs w:val="21"/>
        </w:rPr>
      </w:pPr>
    </w:p>
    <w:p w14:paraId="58399DF9">
      <w:pPr>
        <w:spacing w:line="360" w:lineRule="auto"/>
        <w:jc w:val="right"/>
        <w:rPr>
          <w:rFonts w:asciiTheme="minorEastAsia" w:hAnsiTheme="minorEastAsia" w:eastAsiaTheme="minorEastAsia"/>
          <w:szCs w:val="21"/>
        </w:rPr>
      </w:pPr>
      <w:r>
        <w:rPr>
          <w:rFonts w:hint="eastAsia" w:asciiTheme="minorEastAsia" w:hAnsiTheme="minorEastAsia" w:eastAsiaTheme="minorEastAsia"/>
          <w:szCs w:val="21"/>
        </w:rPr>
        <w:t>日期：    年  月  日</w:t>
      </w:r>
    </w:p>
    <w:p w14:paraId="7215949A">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b/>
          <w:bCs/>
          <w:szCs w:val="21"/>
        </w:rPr>
        <w:br w:type="page"/>
      </w:r>
    </w:p>
    <w:p w14:paraId="75E9C953">
      <w:pPr>
        <w:pStyle w:val="4"/>
        <w:spacing w:line="360" w:lineRule="auto"/>
        <w:jc w:val="center"/>
        <w:rPr>
          <w:rFonts w:asciiTheme="minorEastAsia" w:hAnsiTheme="minorEastAsia" w:eastAsiaTheme="minorEastAsia"/>
          <w:sz w:val="21"/>
          <w:szCs w:val="21"/>
        </w:rPr>
      </w:pPr>
      <w:bookmarkStart w:id="254" w:name="_Toc519242601"/>
      <w:bookmarkStart w:id="255" w:name="_Toc240984145"/>
      <w:r>
        <w:rPr>
          <w:rFonts w:hint="eastAsia" w:asciiTheme="minorEastAsia" w:hAnsiTheme="minorEastAsia" w:eastAsiaTheme="minorEastAsia"/>
          <w:sz w:val="21"/>
          <w:szCs w:val="21"/>
        </w:rPr>
        <w:t>5、对投标文件的真实性承诺</w:t>
      </w:r>
      <w:bookmarkEnd w:id="254"/>
      <w:bookmarkEnd w:id="255"/>
    </w:p>
    <w:p w14:paraId="1ADF3C99">
      <w:pPr>
        <w:spacing w:line="360" w:lineRule="auto"/>
        <w:ind w:left="420" w:leftChars="200"/>
        <w:jc w:val="center"/>
        <w:rPr>
          <w:rFonts w:asciiTheme="minorEastAsia" w:hAnsiTheme="minorEastAsia" w:eastAsiaTheme="minorEastAsia"/>
          <w:szCs w:val="21"/>
        </w:rPr>
      </w:pPr>
    </w:p>
    <w:p w14:paraId="4C74CC84">
      <w:pPr>
        <w:spacing w:line="360" w:lineRule="auto"/>
        <w:rPr>
          <w:rFonts w:asciiTheme="minorEastAsia" w:hAnsiTheme="minorEastAsia" w:eastAsiaTheme="minorEastAsia"/>
          <w:szCs w:val="21"/>
        </w:rPr>
      </w:pPr>
    </w:p>
    <w:p w14:paraId="4C7C91C2">
      <w:pPr>
        <w:spacing w:line="360" w:lineRule="auto"/>
        <w:jc w:val="left"/>
        <w:rPr>
          <w:rFonts w:hint="default" w:asciiTheme="minorEastAsia" w:hAnsiTheme="minorEastAsia" w:eastAsiaTheme="minorEastAsia"/>
          <w:b/>
          <w:szCs w:val="21"/>
          <w:lang w:val="en-US" w:eastAsia="zh-CN"/>
        </w:rPr>
      </w:pPr>
      <w:r>
        <w:rPr>
          <w:rFonts w:hint="eastAsia" w:asciiTheme="minorEastAsia" w:hAnsiTheme="minorEastAsia" w:eastAsiaTheme="minorEastAsia"/>
          <w:b/>
          <w:szCs w:val="21"/>
        </w:rPr>
        <w:t>致</w:t>
      </w:r>
      <w:r>
        <w:rPr>
          <w:rFonts w:hint="eastAsia" w:asciiTheme="minorEastAsia" w:hAnsiTheme="minorEastAsia" w:eastAsiaTheme="minorEastAsia"/>
          <w:b/>
          <w:kern w:val="0"/>
          <w:szCs w:val="21"/>
        </w:rPr>
        <w:t>：</w:t>
      </w:r>
      <w:r>
        <w:rPr>
          <w:rFonts w:hint="eastAsia" w:asciiTheme="minorEastAsia" w:hAnsiTheme="minorEastAsia" w:eastAsiaTheme="minorEastAsia"/>
          <w:b/>
          <w:kern w:val="0"/>
          <w:szCs w:val="21"/>
          <w:lang w:val="en-US" w:eastAsia="zh-CN"/>
        </w:rPr>
        <w:t>深圳市科技创新战略研究中心（深圳虚拟大学园管理服务中心）</w:t>
      </w:r>
    </w:p>
    <w:p w14:paraId="573351E7">
      <w:pPr>
        <w:pStyle w:val="25"/>
        <w:spacing w:line="360" w:lineRule="auto"/>
        <w:ind w:firstLine="420" w:firstLineChars="200"/>
        <w:rPr>
          <w:rFonts w:asciiTheme="minorEastAsia" w:hAnsiTheme="minorEastAsia" w:eastAsiaTheme="minorEastAsia"/>
          <w:szCs w:val="21"/>
        </w:rPr>
      </w:pPr>
    </w:p>
    <w:p w14:paraId="27F33946">
      <w:pPr>
        <w:pStyle w:val="25"/>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00D0EAC">
      <w:pPr>
        <w:pStyle w:val="25"/>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特此承诺。</w:t>
      </w:r>
    </w:p>
    <w:p w14:paraId="41B3F30B">
      <w:pPr>
        <w:spacing w:line="360" w:lineRule="auto"/>
        <w:ind w:left="420" w:leftChars="200"/>
        <w:jc w:val="left"/>
        <w:rPr>
          <w:rFonts w:asciiTheme="minorEastAsia" w:hAnsiTheme="minorEastAsia" w:eastAsiaTheme="minorEastAsia"/>
          <w:szCs w:val="21"/>
        </w:rPr>
      </w:pPr>
    </w:p>
    <w:p w14:paraId="21577029">
      <w:pPr>
        <w:spacing w:line="360" w:lineRule="auto"/>
        <w:ind w:left="-2" w:leftChars="-1" w:firstLine="420"/>
        <w:rPr>
          <w:rFonts w:asciiTheme="minorEastAsia" w:hAnsiTheme="minorEastAsia" w:eastAsiaTheme="minorEastAsia"/>
          <w:bCs/>
          <w:szCs w:val="21"/>
        </w:rPr>
      </w:pPr>
    </w:p>
    <w:p w14:paraId="4DF2B36A">
      <w:pPr>
        <w:spacing w:line="360" w:lineRule="auto"/>
        <w:ind w:left="-2" w:leftChars="-1" w:firstLine="420"/>
        <w:rPr>
          <w:rFonts w:asciiTheme="minorEastAsia" w:hAnsiTheme="minorEastAsia" w:eastAsiaTheme="minorEastAsia"/>
          <w:bCs/>
          <w:szCs w:val="21"/>
        </w:rPr>
      </w:pPr>
    </w:p>
    <w:p w14:paraId="5ECADBEB">
      <w:pPr>
        <w:spacing w:line="360" w:lineRule="auto"/>
        <w:ind w:firstLine="4620" w:firstLineChars="2200"/>
        <w:jc w:val="left"/>
        <w:rPr>
          <w:rFonts w:asciiTheme="minorEastAsia" w:hAnsiTheme="minorEastAsia" w:eastAsiaTheme="minorEastAsia"/>
          <w:szCs w:val="21"/>
        </w:rPr>
      </w:pPr>
      <w:r>
        <w:rPr>
          <w:rFonts w:hint="eastAsia" w:asciiTheme="minorEastAsia" w:hAnsiTheme="minorEastAsia" w:eastAsiaTheme="minorEastAsia"/>
          <w:szCs w:val="21"/>
        </w:rPr>
        <w:t>法定代表人或其授权代表签名：</w:t>
      </w:r>
    </w:p>
    <w:p w14:paraId="394CEFC7">
      <w:pPr>
        <w:spacing w:line="360" w:lineRule="auto"/>
        <w:rPr>
          <w:rFonts w:asciiTheme="minorEastAsia" w:hAnsiTheme="minorEastAsia" w:eastAsiaTheme="minorEastAsia"/>
          <w:szCs w:val="21"/>
        </w:rPr>
      </w:pPr>
    </w:p>
    <w:p w14:paraId="09595B4E">
      <w:pPr>
        <w:spacing w:line="360" w:lineRule="auto"/>
        <w:ind w:firstLine="4620" w:firstLineChars="2200"/>
        <w:jc w:val="left"/>
        <w:rPr>
          <w:rFonts w:asciiTheme="minorEastAsia" w:hAnsiTheme="minorEastAsia" w:eastAsiaTheme="minorEastAsia"/>
          <w:szCs w:val="21"/>
        </w:rPr>
      </w:pPr>
      <w:r>
        <w:rPr>
          <w:rFonts w:hint="eastAsia" w:asciiTheme="minorEastAsia" w:hAnsiTheme="minorEastAsia" w:eastAsiaTheme="minorEastAsia"/>
          <w:szCs w:val="21"/>
        </w:rPr>
        <w:t xml:space="preserve">投标单位（公章）： </w:t>
      </w:r>
    </w:p>
    <w:p w14:paraId="517F3546">
      <w:pPr>
        <w:spacing w:line="360" w:lineRule="auto"/>
        <w:jc w:val="right"/>
        <w:rPr>
          <w:rFonts w:asciiTheme="minorEastAsia" w:hAnsiTheme="minorEastAsia" w:eastAsiaTheme="minorEastAsia"/>
          <w:szCs w:val="21"/>
        </w:rPr>
      </w:pPr>
    </w:p>
    <w:p w14:paraId="1304AAC3">
      <w:pPr>
        <w:spacing w:line="360" w:lineRule="auto"/>
        <w:jc w:val="right"/>
        <w:rPr>
          <w:rFonts w:asciiTheme="minorEastAsia" w:hAnsiTheme="minorEastAsia" w:eastAsiaTheme="minorEastAsia"/>
          <w:szCs w:val="21"/>
        </w:rPr>
      </w:pPr>
      <w:r>
        <w:rPr>
          <w:rFonts w:hint="eastAsia" w:asciiTheme="minorEastAsia" w:hAnsiTheme="minorEastAsia" w:eastAsiaTheme="minorEastAsia"/>
          <w:szCs w:val="21"/>
        </w:rPr>
        <w:t>日期：    年  月  日</w:t>
      </w:r>
    </w:p>
    <w:p w14:paraId="2DC923D3">
      <w:pPr>
        <w:pStyle w:val="4"/>
        <w:spacing w:line="360" w:lineRule="auto"/>
        <w:jc w:val="center"/>
        <w:rPr>
          <w:rFonts w:asciiTheme="minorEastAsia" w:hAnsiTheme="minorEastAsia" w:eastAsiaTheme="minorEastAsia"/>
          <w:sz w:val="21"/>
          <w:szCs w:val="21"/>
        </w:rPr>
      </w:pPr>
      <w:r>
        <w:rPr>
          <w:rFonts w:hint="eastAsia" w:asciiTheme="minorEastAsia" w:hAnsiTheme="minorEastAsia" w:eastAsiaTheme="minorEastAsia"/>
          <w:b w:val="0"/>
          <w:bCs w:val="0"/>
          <w:sz w:val="21"/>
          <w:szCs w:val="21"/>
        </w:rPr>
        <w:br w:type="page"/>
      </w:r>
      <w:bookmarkStart w:id="256" w:name="_Toc480447823"/>
      <w:bookmarkStart w:id="257" w:name="_Toc661064113"/>
      <w:r>
        <w:rPr>
          <w:rFonts w:hint="eastAsia" w:asciiTheme="minorEastAsia" w:hAnsiTheme="minorEastAsia" w:eastAsiaTheme="minorEastAsia"/>
          <w:b w:val="0"/>
          <w:bCs w:val="0"/>
          <w:sz w:val="21"/>
          <w:szCs w:val="21"/>
        </w:rPr>
        <w:t>6</w:t>
      </w:r>
      <w:r>
        <w:rPr>
          <w:rFonts w:hint="eastAsia" w:asciiTheme="minorEastAsia" w:hAnsiTheme="minorEastAsia" w:eastAsiaTheme="minorEastAsia"/>
          <w:sz w:val="21"/>
          <w:szCs w:val="21"/>
        </w:rPr>
        <w:t>、法定代表人资格证明书</w:t>
      </w:r>
      <w:bookmarkEnd w:id="256"/>
      <w:bookmarkEnd w:id="257"/>
    </w:p>
    <w:p w14:paraId="66B65A38">
      <w:pPr>
        <w:spacing w:line="360" w:lineRule="auto"/>
        <w:rPr>
          <w:rFonts w:asciiTheme="minorEastAsia" w:hAnsiTheme="minorEastAsia" w:eastAsiaTheme="minorEastAsia"/>
          <w:szCs w:val="21"/>
        </w:rPr>
      </w:pPr>
    </w:p>
    <w:p w14:paraId="405ED33F">
      <w:pPr>
        <w:snapToGrid w:val="0"/>
        <w:spacing w:line="360" w:lineRule="auto"/>
        <w:rPr>
          <w:rFonts w:cs="Arial" w:asciiTheme="minorEastAsia" w:hAnsiTheme="minorEastAsia" w:eastAsiaTheme="minorEastAsia"/>
          <w:bCs/>
          <w:szCs w:val="21"/>
        </w:rPr>
      </w:pPr>
      <w:r>
        <w:rPr>
          <w:rFonts w:hint="eastAsia" w:cs="Arial" w:asciiTheme="minorEastAsia" w:hAnsiTheme="minorEastAsia" w:eastAsiaTheme="minorEastAsia"/>
          <w:bCs/>
          <w:szCs w:val="21"/>
        </w:rPr>
        <w:t>单位名称：</w:t>
      </w:r>
    </w:p>
    <w:p w14:paraId="1A437219">
      <w:pPr>
        <w:snapToGrid w:val="0"/>
        <w:spacing w:line="360" w:lineRule="auto"/>
        <w:rPr>
          <w:rFonts w:cs="Arial" w:asciiTheme="minorEastAsia" w:hAnsiTheme="minorEastAsia" w:eastAsiaTheme="minorEastAsia"/>
          <w:bCs/>
          <w:szCs w:val="21"/>
        </w:rPr>
      </w:pPr>
      <w:r>
        <w:rPr>
          <w:rFonts w:hint="eastAsia" w:cs="Arial" w:asciiTheme="minorEastAsia" w:hAnsiTheme="minorEastAsia" w:eastAsiaTheme="minorEastAsia"/>
          <w:bCs/>
          <w:szCs w:val="21"/>
        </w:rPr>
        <w:t>地    址：</w:t>
      </w:r>
    </w:p>
    <w:p w14:paraId="019DAD62">
      <w:pPr>
        <w:snapToGrid w:val="0"/>
        <w:spacing w:line="360" w:lineRule="auto"/>
        <w:rPr>
          <w:rFonts w:cs="Arial" w:asciiTheme="minorEastAsia" w:hAnsiTheme="minorEastAsia" w:eastAsiaTheme="minorEastAsia"/>
          <w:bCs/>
          <w:szCs w:val="21"/>
        </w:rPr>
      </w:pPr>
      <w:r>
        <w:rPr>
          <w:rFonts w:hint="eastAsia" w:cs="Arial" w:asciiTheme="minorEastAsia" w:hAnsiTheme="minorEastAsia" w:eastAsiaTheme="minorEastAsia"/>
          <w:bCs/>
          <w:szCs w:val="21"/>
        </w:rPr>
        <w:t>姓名： 性别：年龄：职务：</w:t>
      </w:r>
    </w:p>
    <w:p w14:paraId="0D51DC5D">
      <w:pPr>
        <w:snapToGrid w:val="0"/>
        <w:spacing w:line="360" w:lineRule="auto"/>
        <w:ind w:firstLine="945" w:firstLineChars="450"/>
        <w:rPr>
          <w:rFonts w:cs="Arial" w:asciiTheme="minorEastAsia" w:hAnsiTheme="minorEastAsia" w:eastAsiaTheme="minorEastAsia"/>
          <w:bCs/>
          <w:szCs w:val="21"/>
          <w:u w:val="single"/>
        </w:rPr>
      </w:pPr>
    </w:p>
    <w:p w14:paraId="76BA2AB8">
      <w:pPr>
        <w:snapToGrid w:val="0"/>
        <w:spacing w:line="360" w:lineRule="auto"/>
        <w:ind w:firstLine="420" w:firstLineChars="200"/>
        <w:rPr>
          <w:rFonts w:cs="Arial" w:asciiTheme="minorEastAsia" w:hAnsiTheme="minorEastAsia" w:eastAsiaTheme="minorEastAsia"/>
          <w:bCs/>
          <w:szCs w:val="21"/>
        </w:rPr>
      </w:pPr>
      <w:r>
        <w:rPr>
          <w:rFonts w:hint="eastAsia" w:cs="Arial" w:asciiTheme="minorEastAsia" w:hAnsiTheme="minorEastAsia" w:eastAsiaTheme="minorEastAsia"/>
          <w:bCs/>
          <w:szCs w:val="21"/>
        </w:rPr>
        <w:t>系  的法定代表人。为维护的项目，签署上述项目的投标文件、进行合同投标、签署合同和处理与之有关的一切事务。</w:t>
      </w:r>
    </w:p>
    <w:p w14:paraId="6D9F15D2">
      <w:pPr>
        <w:snapToGrid w:val="0"/>
        <w:spacing w:line="360" w:lineRule="auto"/>
        <w:rPr>
          <w:rFonts w:cs="Arial" w:asciiTheme="minorEastAsia" w:hAnsiTheme="minorEastAsia" w:eastAsiaTheme="minorEastAsia"/>
          <w:bCs/>
          <w:szCs w:val="21"/>
        </w:rPr>
      </w:pPr>
      <w:r>
        <w:rPr>
          <w:rFonts w:hint="eastAsia" w:cs="Arial" w:asciiTheme="minorEastAsia" w:hAnsiTheme="minorEastAsia" w:eastAsiaTheme="minorEastAsia"/>
          <w:bCs/>
          <w:szCs w:val="21"/>
        </w:rPr>
        <w:t>特此证明</w:t>
      </w:r>
    </w:p>
    <w:p w14:paraId="301E6FDC">
      <w:pPr>
        <w:snapToGrid w:val="0"/>
        <w:spacing w:line="360" w:lineRule="auto"/>
        <w:rPr>
          <w:rFonts w:asciiTheme="minorEastAsia" w:hAnsiTheme="minorEastAsia" w:eastAsiaTheme="minorEastAsia"/>
          <w:szCs w:val="21"/>
        </w:rPr>
      </w:pPr>
    </w:p>
    <w:p w14:paraId="7EA87C4A">
      <w:pPr>
        <w:spacing w:line="360" w:lineRule="auto"/>
        <w:ind w:firstLine="3150" w:firstLineChars="1500"/>
        <w:jc w:val="left"/>
        <w:rPr>
          <w:rFonts w:asciiTheme="minorEastAsia" w:hAnsiTheme="minorEastAsia" w:eastAsiaTheme="minorEastAsia"/>
          <w:szCs w:val="21"/>
        </w:rPr>
      </w:pPr>
      <w:r>
        <w:rPr>
          <w:rFonts w:hint="eastAsia" w:asciiTheme="minorEastAsia" w:hAnsiTheme="minorEastAsia" w:eastAsiaTheme="minorEastAsia"/>
          <w:szCs w:val="21"/>
        </w:rPr>
        <w:t>法定代表人（</w:t>
      </w:r>
      <w:r>
        <w:rPr>
          <w:rFonts w:hint="eastAsia" w:asciiTheme="minorEastAsia" w:hAnsiTheme="minorEastAsia" w:eastAsiaTheme="minorEastAsia"/>
          <w:b/>
          <w:szCs w:val="21"/>
        </w:rPr>
        <w:t>签名</w:t>
      </w:r>
      <w:r>
        <w:rPr>
          <w:rFonts w:hint="eastAsia" w:asciiTheme="minorEastAsia" w:hAnsiTheme="minorEastAsia" w:eastAsiaTheme="minorEastAsia"/>
          <w:szCs w:val="21"/>
        </w:rPr>
        <w:t>）：</w:t>
      </w:r>
    </w:p>
    <w:p w14:paraId="1CB5FAD7">
      <w:pPr>
        <w:spacing w:line="360" w:lineRule="auto"/>
        <w:jc w:val="left"/>
        <w:rPr>
          <w:rFonts w:asciiTheme="minorEastAsia" w:hAnsiTheme="minorEastAsia" w:eastAsiaTheme="minorEastAsia"/>
          <w:szCs w:val="21"/>
        </w:rPr>
      </w:pPr>
    </w:p>
    <w:p w14:paraId="3C23A3E2">
      <w:pPr>
        <w:spacing w:line="360" w:lineRule="auto"/>
        <w:ind w:firstLine="3150" w:firstLineChars="1500"/>
        <w:jc w:val="left"/>
        <w:rPr>
          <w:rFonts w:asciiTheme="minorEastAsia" w:hAnsiTheme="minorEastAsia" w:eastAsiaTheme="minorEastAsia"/>
          <w:szCs w:val="21"/>
        </w:rPr>
      </w:pPr>
      <w:r>
        <w:rPr>
          <w:rFonts w:hint="eastAsia" w:asciiTheme="minorEastAsia" w:hAnsiTheme="minorEastAsia" w:eastAsiaTheme="minorEastAsia"/>
          <w:szCs w:val="21"/>
        </w:rPr>
        <w:t>投标单位（</w:t>
      </w:r>
      <w:r>
        <w:rPr>
          <w:rFonts w:hint="eastAsia" w:asciiTheme="minorEastAsia" w:hAnsiTheme="minorEastAsia" w:eastAsiaTheme="minorEastAsia"/>
          <w:b/>
          <w:szCs w:val="21"/>
        </w:rPr>
        <w:t>盖公章</w:t>
      </w:r>
      <w:r>
        <w:rPr>
          <w:rFonts w:hint="eastAsia" w:asciiTheme="minorEastAsia" w:hAnsiTheme="minorEastAsia" w:eastAsiaTheme="minorEastAsia"/>
          <w:szCs w:val="21"/>
        </w:rPr>
        <w:t>）：</w:t>
      </w:r>
    </w:p>
    <w:p w14:paraId="51CA8B06">
      <w:pPr>
        <w:spacing w:line="360" w:lineRule="auto"/>
        <w:jc w:val="left"/>
        <w:rPr>
          <w:rFonts w:asciiTheme="minorEastAsia" w:hAnsiTheme="minorEastAsia" w:eastAsiaTheme="minorEastAsia"/>
          <w:szCs w:val="21"/>
        </w:rPr>
      </w:pPr>
    </w:p>
    <w:p w14:paraId="2AD31959">
      <w:pPr>
        <w:spacing w:line="360" w:lineRule="auto"/>
        <w:jc w:val="right"/>
        <w:rPr>
          <w:rFonts w:asciiTheme="minorEastAsia" w:hAnsiTheme="minorEastAsia" w:eastAsiaTheme="minorEastAsia"/>
          <w:szCs w:val="21"/>
        </w:rPr>
      </w:pPr>
      <w:r>
        <w:rPr>
          <w:rFonts w:hint="eastAsia" w:asciiTheme="minorEastAsia" w:hAnsiTheme="minorEastAsia" w:eastAsiaTheme="minorEastAsia"/>
          <w:szCs w:val="21"/>
        </w:rPr>
        <w:t>日期：    年  月  日</w:t>
      </w:r>
    </w:p>
    <w:p w14:paraId="3F337926">
      <w:pPr>
        <w:snapToGrid w:val="0"/>
        <w:spacing w:line="360" w:lineRule="auto"/>
        <w:ind w:firstLine="3570" w:firstLineChars="1700"/>
        <w:rPr>
          <w:rFonts w:cs="Arial" w:asciiTheme="minorEastAsia" w:hAnsiTheme="minorEastAsia" w:eastAsiaTheme="minorEastAsia"/>
          <w:bCs/>
          <w:szCs w:val="21"/>
        </w:rPr>
      </w:pPr>
    </w:p>
    <w:p w14:paraId="4F9E89B1">
      <w:pPr>
        <w:snapToGrid w:val="0"/>
        <w:spacing w:line="360" w:lineRule="auto"/>
        <w:ind w:firstLine="3570" w:firstLineChars="1700"/>
        <w:rPr>
          <w:rFonts w:cs="Arial" w:asciiTheme="minorEastAsia" w:hAnsiTheme="minorEastAsia" w:eastAsiaTheme="minorEastAsia"/>
          <w:bCs/>
          <w:szCs w:val="21"/>
        </w:rPr>
      </w:pPr>
    </w:p>
    <w:p w14:paraId="13308702">
      <w:pPr>
        <w:snapToGrid w:val="0"/>
        <w:spacing w:line="360" w:lineRule="auto"/>
        <w:ind w:firstLine="3570" w:firstLineChars="1700"/>
        <w:rPr>
          <w:rFonts w:cs="Arial" w:asciiTheme="minorEastAsia" w:hAnsiTheme="minorEastAsia" w:eastAsiaTheme="minorEastAsia"/>
          <w:bCs/>
          <w:szCs w:val="21"/>
        </w:rPr>
      </w:pPr>
    </w:p>
    <w:p w14:paraId="2EF609D5">
      <w:pPr>
        <w:snapToGrid w:val="0"/>
        <w:spacing w:line="360" w:lineRule="auto"/>
        <w:ind w:firstLine="3570" w:firstLineChars="1700"/>
        <w:rPr>
          <w:rFonts w:cs="Arial" w:asciiTheme="minorEastAsia" w:hAnsiTheme="minorEastAsia" w:eastAsiaTheme="minorEastAsia"/>
          <w:bCs/>
          <w:szCs w:val="21"/>
        </w:rPr>
      </w:pPr>
    </w:p>
    <w:p w14:paraId="2408624D">
      <w:pPr>
        <w:snapToGrid w:val="0"/>
        <w:spacing w:line="360" w:lineRule="auto"/>
        <w:ind w:firstLine="3570" w:firstLineChars="1700"/>
        <w:rPr>
          <w:rFonts w:cs="Arial" w:asciiTheme="minorEastAsia" w:hAnsiTheme="minorEastAsia" w:eastAsiaTheme="minorEastAsia"/>
          <w:bCs/>
          <w:szCs w:val="21"/>
        </w:rPr>
      </w:pPr>
    </w:p>
    <w:p w14:paraId="292A81D7">
      <w:pPr>
        <w:snapToGrid w:val="0"/>
        <w:spacing w:line="360" w:lineRule="auto"/>
        <w:ind w:left="735" w:hanging="735" w:hangingChars="350"/>
        <w:rPr>
          <w:rFonts w:cs="Arial" w:asciiTheme="minorEastAsia" w:hAnsiTheme="minorEastAsia" w:eastAsiaTheme="minorEastAsia"/>
          <w:bCs/>
          <w:szCs w:val="21"/>
        </w:rPr>
      </w:pPr>
      <w:r>
        <w:rPr>
          <w:rFonts w:hint="eastAsia" w:cs="Arial" w:asciiTheme="minorEastAsia" w:hAnsiTheme="minorEastAsia" w:eastAsiaTheme="minorEastAsia"/>
          <w:bCs/>
          <w:szCs w:val="21"/>
        </w:rPr>
        <w:t>说明：</w:t>
      </w:r>
    </w:p>
    <w:p w14:paraId="48F85249">
      <w:pPr>
        <w:snapToGrid w:val="0"/>
        <w:spacing w:line="360" w:lineRule="auto"/>
        <w:ind w:firstLine="420" w:firstLineChars="200"/>
        <w:rPr>
          <w:rFonts w:cs="Arial" w:asciiTheme="minorEastAsia" w:hAnsiTheme="minorEastAsia" w:eastAsiaTheme="minorEastAsia"/>
          <w:bCs/>
          <w:szCs w:val="21"/>
        </w:rPr>
      </w:pPr>
      <w:r>
        <w:rPr>
          <w:rFonts w:hint="eastAsia" w:cs="Arial" w:asciiTheme="minorEastAsia" w:hAnsiTheme="minorEastAsia" w:eastAsiaTheme="minorEastAsia"/>
          <w:bCs/>
          <w:szCs w:val="21"/>
        </w:rPr>
        <w:t>1. 本证明书要求投标人提供</w:t>
      </w:r>
      <w:r>
        <w:rPr>
          <w:rFonts w:hint="eastAsia" w:cs="Arial" w:asciiTheme="minorEastAsia" w:hAnsiTheme="minorEastAsia" w:eastAsiaTheme="minorEastAsia"/>
          <w:b/>
          <w:bCs/>
          <w:szCs w:val="21"/>
        </w:rPr>
        <w:t>加盖公章</w:t>
      </w:r>
      <w:r>
        <w:rPr>
          <w:rFonts w:hint="eastAsia" w:cs="Arial" w:asciiTheme="minorEastAsia" w:hAnsiTheme="minorEastAsia" w:eastAsiaTheme="minorEastAsia"/>
          <w:bCs/>
          <w:szCs w:val="21"/>
        </w:rPr>
        <w:t>后的原件方为有效；</w:t>
      </w:r>
    </w:p>
    <w:p w14:paraId="17661B14">
      <w:pPr>
        <w:snapToGrid w:val="0"/>
        <w:spacing w:line="360" w:lineRule="auto"/>
        <w:ind w:firstLine="420" w:firstLineChars="200"/>
        <w:rPr>
          <w:rFonts w:cs="Arial" w:asciiTheme="minorEastAsia" w:hAnsiTheme="minorEastAsia" w:eastAsiaTheme="minorEastAsia"/>
          <w:bCs/>
          <w:szCs w:val="21"/>
        </w:rPr>
      </w:pPr>
      <w:r>
        <w:rPr>
          <w:rFonts w:hint="eastAsia" w:cs="Arial" w:asciiTheme="minorEastAsia" w:hAnsiTheme="minorEastAsia" w:eastAsiaTheme="minorEastAsia"/>
          <w:bCs/>
          <w:szCs w:val="21"/>
        </w:rPr>
        <w:t>2. 须提供法定代表人的身份证复印件（附后）。</w:t>
      </w:r>
    </w:p>
    <w:p w14:paraId="5AC9654F">
      <w:pPr>
        <w:pStyle w:val="4"/>
        <w:spacing w:before="120" w:after="120" w:line="360" w:lineRule="auto"/>
        <w:jc w:val="center"/>
        <w:rPr>
          <w:rFonts w:asciiTheme="minorEastAsia" w:hAnsiTheme="minorEastAsia" w:eastAsiaTheme="minorEastAsia"/>
          <w:b w:val="0"/>
          <w:sz w:val="21"/>
          <w:szCs w:val="21"/>
        </w:rPr>
      </w:pPr>
      <w:r>
        <w:rPr>
          <w:rFonts w:hint="eastAsia" w:asciiTheme="minorEastAsia" w:hAnsiTheme="minorEastAsia" w:eastAsiaTheme="minorEastAsia"/>
          <w:sz w:val="21"/>
          <w:szCs w:val="21"/>
        </w:rPr>
        <w:br w:type="page"/>
      </w:r>
      <w:bookmarkStart w:id="258" w:name="_Toc1961301154"/>
      <w:bookmarkStart w:id="259" w:name="_Toc480447824"/>
      <w:r>
        <w:rPr>
          <w:rFonts w:hint="eastAsia" w:asciiTheme="minorEastAsia" w:hAnsiTheme="minorEastAsia" w:eastAsiaTheme="minorEastAsia"/>
          <w:sz w:val="21"/>
          <w:szCs w:val="21"/>
        </w:rPr>
        <w:t>7、法定代表人授权书</w:t>
      </w:r>
      <w:bookmarkEnd w:id="258"/>
      <w:bookmarkEnd w:id="259"/>
    </w:p>
    <w:p w14:paraId="37E01CD3">
      <w:pPr>
        <w:spacing w:line="360" w:lineRule="auto"/>
        <w:rPr>
          <w:rFonts w:cs="Arial" w:asciiTheme="minorEastAsia" w:hAnsiTheme="minorEastAsia" w:eastAsiaTheme="minorEastAsia"/>
          <w:bCs/>
          <w:szCs w:val="21"/>
        </w:rPr>
      </w:pPr>
    </w:p>
    <w:p w14:paraId="0B7EB270">
      <w:pPr>
        <w:spacing w:line="360" w:lineRule="auto"/>
        <w:jc w:val="left"/>
        <w:rPr>
          <w:rFonts w:hint="default" w:asciiTheme="minorEastAsia" w:hAnsiTheme="minorEastAsia" w:eastAsiaTheme="minorEastAsia"/>
          <w:b/>
          <w:szCs w:val="21"/>
          <w:lang w:val="en-US" w:eastAsia="zh-CN"/>
        </w:rPr>
      </w:pPr>
      <w:r>
        <w:rPr>
          <w:rFonts w:hint="eastAsia" w:asciiTheme="minorEastAsia" w:hAnsiTheme="minorEastAsia" w:eastAsiaTheme="minorEastAsia"/>
          <w:b/>
          <w:szCs w:val="21"/>
        </w:rPr>
        <w:t>致</w:t>
      </w:r>
      <w:r>
        <w:rPr>
          <w:rFonts w:hint="eastAsia" w:asciiTheme="minorEastAsia" w:hAnsiTheme="minorEastAsia" w:eastAsiaTheme="minorEastAsia"/>
          <w:b/>
          <w:kern w:val="0"/>
          <w:szCs w:val="21"/>
        </w:rPr>
        <w:t>：</w:t>
      </w:r>
      <w:r>
        <w:rPr>
          <w:rFonts w:hint="eastAsia" w:asciiTheme="minorEastAsia" w:hAnsiTheme="minorEastAsia" w:eastAsiaTheme="minorEastAsia"/>
          <w:b/>
          <w:kern w:val="0"/>
          <w:szCs w:val="21"/>
          <w:lang w:val="en-US" w:eastAsia="zh-CN"/>
        </w:rPr>
        <w:t>深圳市科技创新战略研究中心（深圳虚拟大学园管理服务中心）</w:t>
      </w:r>
    </w:p>
    <w:p w14:paraId="665840C6">
      <w:pPr>
        <w:spacing w:line="360" w:lineRule="auto"/>
        <w:rPr>
          <w:rFonts w:cs="Arial" w:asciiTheme="minorEastAsia" w:hAnsiTheme="minorEastAsia" w:eastAsiaTheme="minorEastAsia"/>
          <w:bCs/>
          <w:szCs w:val="21"/>
        </w:rPr>
      </w:pPr>
    </w:p>
    <w:p w14:paraId="1A663D5B">
      <w:pPr>
        <w:spacing w:line="360" w:lineRule="auto"/>
        <w:ind w:firstLine="420" w:firstLineChars="200"/>
        <w:rPr>
          <w:rFonts w:cs="Arial" w:asciiTheme="minorEastAsia" w:hAnsiTheme="minorEastAsia" w:eastAsiaTheme="minorEastAsia"/>
          <w:bCs/>
          <w:szCs w:val="21"/>
        </w:rPr>
      </w:pPr>
      <w:r>
        <w:rPr>
          <w:rFonts w:hint="eastAsia" w:cs="Arial" w:asciiTheme="minorEastAsia" w:hAnsiTheme="minorEastAsia" w:eastAsiaTheme="minorEastAsia"/>
          <w:bCs/>
          <w:szCs w:val="21"/>
          <w:u w:val="single"/>
        </w:rPr>
        <w:t xml:space="preserve">          （投标人全称）     </w:t>
      </w:r>
      <w:r>
        <w:rPr>
          <w:rFonts w:hint="eastAsia" w:cs="Arial" w:asciiTheme="minorEastAsia" w:hAnsiTheme="minorEastAsia" w:eastAsiaTheme="minorEastAsia"/>
          <w:bCs/>
          <w:szCs w:val="21"/>
        </w:rPr>
        <w:t xml:space="preserve"> 法定代表人</w:t>
      </w:r>
      <w:r>
        <w:rPr>
          <w:rFonts w:hint="eastAsia" w:cs="Arial" w:asciiTheme="minorEastAsia" w:hAnsiTheme="minorEastAsia" w:eastAsiaTheme="minorEastAsia"/>
          <w:bCs/>
          <w:szCs w:val="21"/>
          <w:u w:val="single"/>
        </w:rPr>
        <w:t xml:space="preserve">  （姓名、职务）              </w:t>
      </w:r>
      <w:r>
        <w:rPr>
          <w:rFonts w:hint="eastAsia" w:cs="Arial" w:asciiTheme="minorEastAsia" w:hAnsiTheme="minorEastAsia" w:eastAsiaTheme="minorEastAsia"/>
          <w:bCs/>
          <w:szCs w:val="21"/>
        </w:rPr>
        <w:t xml:space="preserve">授权 </w:t>
      </w:r>
      <w:r>
        <w:rPr>
          <w:rFonts w:hint="eastAsia" w:cs="Arial" w:asciiTheme="minorEastAsia" w:hAnsiTheme="minorEastAsia" w:eastAsiaTheme="minorEastAsia"/>
          <w:bCs/>
          <w:szCs w:val="21"/>
          <w:u w:val="single"/>
        </w:rPr>
        <w:t xml:space="preserve">  （被授权代表姓名、职务）              </w:t>
      </w:r>
      <w:r>
        <w:rPr>
          <w:rFonts w:hint="eastAsia" w:cs="Arial" w:asciiTheme="minorEastAsia" w:hAnsiTheme="minorEastAsia" w:eastAsiaTheme="minorEastAsia"/>
          <w:bCs/>
          <w:szCs w:val="21"/>
        </w:rPr>
        <w:t>为本单位合法代理人，参加贵招标代理单位组织的</w:t>
      </w:r>
      <w:r>
        <w:rPr>
          <w:rFonts w:hint="eastAsia" w:cs="Arial" w:asciiTheme="minorEastAsia" w:hAnsiTheme="minorEastAsia" w:eastAsiaTheme="minorEastAsia"/>
          <w:bCs/>
          <w:szCs w:val="21"/>
          <w:u w:val="single"/>
        </w:rPr>
        <w:t xml:space="preserve">   (项目名称)                      </w:t>
      </w:r>
      <w:r>
        <w:rPr>
          <w:rFonts w:hint="eastAsia" w:cs="Arial" w:asciiTheme="minorEastAsia" w:hAnsiTheme="minorEastAsia" w:eastAsiaTheme="minorEastAsia"/>
          <w:bCs/>
          <w:szCs w:val="21"/>
        </w:rPr>
        <w:t xml:space="preserve"> 项目的招标投标活动，代表本单位处理招标投标活动中的一切事宜。包括但不限于：投标、参与开标、谈判、签约等。投标人代表在投标过程中所签署的一切文件和处理与之有关的一切事务，本单位均予以认可并对此承担责任。投标人代表无转委权。特此授权。</w:t>
      </w:r>
    </w:p>
    <w:p w14:paraId="5EBE9EF1">
      <w:pPr>
        <w:spacing w:line="360" w:lineRule="auto"/>
        <w:rPr>
          <w:rFonts w:cs="Arial" w:asciiTheme="minorEastAsia" w:hAnsiTheme="minorEastAsia" w:eastAsiaTheme="minorEastAsia"/>
          <w:bCs/>
          <w:szCs w:val="21"/>
        </w:rPr>
      </w:pPr>
      <w:r>
        <w:rPr>
          <w:rFonts w:hint="eastAsia" w:cs="Arial" w:asciiTheme="minorEastAsia" w:hAnsiTheme="minorEastAsia" w:eastAsiaTheme="minorEastAsia"/>
          <w:bCs/>
          <w:szCs w:val="21"/>
        </w:rPr>
        <w:t xml:space="preserve">     本授权书于年月日签字生效,特此声明。</w:t>
      </w:r>
    </w:p>
    <w:p w14:paraId="75DE897F">
      <w:pPr>
        <w:spacing w:line="360" w:lineRule="auto"/>
        <w:rPr>
          <w:rFonts w:cs="Arial" w:asciiTheme="minorEastAsia" w:hAnsiTheme="minorEastAsia" w:eastAsiaTheme="minorEastAsia"/>
          <w:bCs/>
          <w:szCs w:val="21"/>
        </w:rPr>
      </w:pPr>
    </w:p>
    <w:p w14:paraId="478C20A5">
      <w:pPr>
        <w:spacing w:line="360" w:lineRule="auto"/>
        <w:ind w:firstLine="105" w:firstLineChars="50"/>
        <w:rPr>
          <w:rFonts w:cs="Arial" w:asciiTheme="minorEastAsia" w:hAnsiTheme="minorEastAsia" w:eastAsiaTheme="minorEastAsia"/>
          <w:bCs/>
          <w:szCs w:val="21"/>
          <w:u w:val="single"/>
        </w:rPr>
      </w:pPr>
      <w:r>
        <w:rPr>
          <w:rFonts w:hint="eastAsia" w:cs="Arial" w:asciiTheme="minorEastAsia" w:hAnsiTheme="minorEastAsia" w:eastAsiaTheme="minorEastAsia"/>
          <w:bCs/>
          <w:szCs w:val="21"/>
        </w:rPr>
        <w:t>被授权人：   职  务：</w:t>
      </w:r>
    </w:p>
    <w:p w14:paraId="5BAE9BA9">
      <w:pPr>
        <w:spacing w:line="360" w:lineRule="auto"/>
        <w:ind w:firstLine="105" w:firstLineChars="50"/>
        <w:rPr>
          <w:rFonts w:cs="Arial" w:asciiTheme="minorEastAsia" w:hAnsiTheme="minorEastAsia" w:eastAsiaTheme="minorEastAsia"/>
          <w:bCs/>
          <w:szCs w:val="21"/>
          <w:u w:val="single"/>
        </w:rPr>
      </w:pPr>
      <w:r>
        <w:rPr>
          <w:rFonts w:hint="eastAsia" w:cs="Arial" w:asciiTheme="minorEastAsia" w:hAnsiTheme="minorEastAsia" w:eastAsiaTheme="minorEastAsia"/>
          <w:bCs/>
          <w:szCs w:val="21"/>
        </w:rPr>
        <w:t>联系电话：   手  机：</w:t>
      </w:r>
    </w:p>
    <w:p w14:paraId="5D28BEB4">
      <w:pPr>
        <w:spacing w:line="360" w:lineRule="auto"/>
        <w:ind w:firstLine="105" w:firstLineChars="50"/>
        <w:rPr>
          <w:rFonts w:cs="Arial" w:asciiTheme="minorEastAsia" w:hAnsiTheme="minorEastAsia" w:eastAsiaTheme="minorEastAsia"/>
          <w:bCs/>
          <w:szCs w:val="21"/>
        </w:rPr>
      </w:pPr>
      <w:r>
        <w:rPr>
          <w:rFonts w:hint="eastAsia" w:cs="Arial" w:asciiTheme="minorEastAsia" w:hAnsiTheme="minorEastAsia" w:eastAsiaTheme="minorEastAsia"/>
          <w:bCs/>
          <w:szCs w:val="21"/>
        </w:rPr>
        <w:t>身份证号码：</w:t>
      </w:r>
    </w:p>
    <w:p w14:paraId="66148E68">
      <w:pPr>
        <w:spacing w:line="360" w:lineRule="auto"/>
        <w:ind w:firstLine="105" w:firstLineChars="50"/>
        <w:rPr>
          <w:rFonts w:cs="Arial" w:asciiTheme="minorEastAsia" w:hAnsiTheme="minorEastAsia" w:eastAsiaTheme="minorEastAsia"/>
          <w:bCs/>
          <w:szCs w:val="21"/>
          <w:u w:val="single"/>
        </w:rPr>
      </w:pPr>
      <w:r>
        <w:rPr>
          <w:rFonts w:hint="eastAsia" w:cs="Arial" w:asciiTheme="minorEastAsia" w:hAnsiTheme="minorEastAsia" w:eastAsiaTheme="minorEastAsia"/>
          <w:bCs/>
          <w:szCs w:val="21"/>
        </w:rPr>
        <w:t>投标单位（盖公章）：</w:t>
      </w:r>
    </w:p>
    <w:p w14:paraId="109F8D2E">
      <w:pPr>
        <w:spacing w:line="360" w:lineRule="auto"/>
        <w:ind w:firstLine="105" w:firstLineChars="50"/>
        <w:rPr>
          <w:rFonts w:cs="Arial" w:asciiTheme="minorEastAsia" w:hAnsiTheme="minorEastAsia" w:eastAsiaTheme="minorEastAsia"/>
          <w:bCs/>
          <w:szCs w:val="21"/>
          <w:u w:val="single"/>
        </w:rPr>
      </w:pPr>
      <w:r>
        <w:rPr>
          <w:rFonts w:hint="eastAsia" w:cs="Arial" w:asciiTheme="minorEastAsia" w:hAnsiTheme="minorEastAsia" w:eastAsiaTheme="minorEastAsia"/>
          <w:bCs/>
          <w:szCs w:val="21"/>
        </w:rPr>
        <w:t>法定代表人（签名）：</w:t>
      </w:r>
    </w:p>
    <w:p w14:paraId="53CD0369">
      <w:pPr>
        <w:spacing w:line="360" w:lineRule="auto"/>
        <w:ind w:firstLine="105" w:firstLineChars="50"/>
        <w:rPr>
          <w:rFonts w:cs="Arial" w:asciiTheme="minorEastAsia" w:hAnsiTheme="minorEastAsia" w:eastAsiaTheme="minorEastAsia"/>
          <w:bCs/>
          <w:szCs w:val="21"/>
          <w:u w:val="single"/>
        </w:rPr>
      </w:pPr>
      <w:r>
        <w:rPr>
          <w:rFonts w:hint="eastAsia" w:cs="Arial" w:asciiTheme="minorEastAsia" w:hAnsiTheme="minorEastAsia" w:eastAsiaTheme="minorEastAsia"/>
          <w:bCs/>
          <w:szCs w:val="21"/>
        </w:rPr>
        <w:t>被 授权 人（签名）：</w:t>
      </w:r>
    </w:p>
    <w:p w14:paraId="248B6DBE">
      <w:pPr>
        <w:spacing w:line="360" w:lineRule="auto"/>
        <w:rPr>
          <w:rFonts w:cs="Arial" w:asciiTheme="minorEastAsia" w:hAnsiTheme="minorEastAsia" w:eastAsiaTheme="minorEastAsia"/>
          <w:bCs/>
          <w:szCs w:val="21"/>
        </w:rPr>
      </w:pPr>
    </w:p>
    <w:p w14:paraId="21DCCF84">
      <w:pPr>
        <w:spacing w:line="360" w:lineRule="auto"/>
        <w:rPr>
          <w:rFonts w:cs="Arial" w:asciiTheme="minorEastAsia" w:hAnsiTheme="minorEastAsia" w:eastAsiaTheme="minorEastAsia"/>
          <w:bCs/>
          <w:szCs w:val="21"/>
        </w:rPr>
      </w:pPr>
    </w:p>
    <w:p w14:paraId="6143C2F9">
      <w:pPr>
        <w:spacing w:line="360" w:lineRule="auto"/>
        <w:rPr>
          <w:rFonts w:cs="Arial" w:asciiTheme="minorEastAsia" w:hAnsiTheme="minorEastAsia" w:eastAsiaTheme="minorEastAsia"/>
          <w:bCs/>
          <w:szCs w:val="21"/>
        </w:rPr>
      </w:pPr>
    </w:p>
    <w:p w14:paraId="25B5ACC0">
      <w:pPr>
        <w:spacing w:line="360" w:lineRule="auto"/>
        <w:rPr>
          <w:rFonts w:cs="Arial" w:asciiTheme="minorEastAsia" w:hAnsiTheme="minorEastAsia" w:eastAsiaTheme="minorEastAsia"/>
          <w:bCs/>
          <w:szCs w:val="21"/>
        </w:rPr>
      </w:pPr>
    </w:p>
    <w:p w14:paraId="4AB3B035">
      <w:pPr>
        <w:spacing w:line="360" w:lineRule="auto"/>
        <w:rPr>
          <w:rFonts w:cs="Arial" w:asciiTheme="minorEastAsia" w:hAnsiTheme="minorEastAsia" w:eastAsiaTheme="minorEastAsia"/>
          <w:bCs/>
          <w:szCs w:val="21"/>
        </w:rPr>
      </w:pPr>
    </w:p>
    <w:p w14:paraId="01F65A58">
      <w:pPr>
        <w:spacing w:line="360" w:lineRule="auto"/>
        <w:rPr>
          <w:rFonts w:cs="Arial" w:asciiTheme="minorEastAsia" w:hAnsiTheme="minorEastAsia" w:eastAsiaTheme="minorEastAsia"/>
          <w:bCs/>
          <w:szCs w:val="21"/>
        </w:rPr>
      </w:pPr>
    </w:p>
    <w:p w14:paraId="5F289546">
      <w:pPr>
        <w:spacing w:line="360" w:lineRule="auto"/>
        <w:rPr>
          <w:rFonts w:cs="Arial" w:asciiTheme="minorEastAsia" w:hAnsiTheme="minorEastAsia" w:eastAsiaTheme="minorEastAsia"/>
          <w:bCs/>
          <w:szCs w:val="21"/>
        </w:rPr>
      </w:pPr>
      <w:r>
        <w:rPr>
          <w:rFonts w:hint="eastAsia" w:cs="Arial" w:asciiTheme="minorEastAsia" w:hAnsiTheme="minorEastAsia" w:eastAsiaTheme="minorEastAsia"/>
          <w:bCs/>
          <w:szCs w:val="21"/>
        </w:rPr>
        <w:t>说明：</w:t>
      </w:r>
    </w:p>
    <w:p w14:paraId="7F2180F2">
      <w:pPr>
        <w:spacing w:line="360" w:lineRule="auto"/>
        <w:ind w:firstLine="420" w:firstLineChars="200"/>
        <w:rPr>
          <w:rFonts w:cs="Arial" w:asciiTheme="minorEastAsia" w:hAnsiTheme="minorEastAsia" w:eastAsiaTheme="minorEastAsia"/>
          <w:bCs/>
          <w:szCs w:val="21"/>
        </w:rPr>
      </w:pPr>
      <w:r>
        <w:rPr>
          <w:rFonts w:hint="eastAsia" w:cs="Arial" w:asciiTheme="minorEastAsia" w:hAnsiTheme="minorEastAsia" w:eastAsiaTheme="minorEastAsia"/>
          <w:bCs/>
          <w:szCs w:val="21"/>
        </w:rPr>
        <w:t>1.本授权委托书要求投标人提供有被授权人签字、法定代表人的签字（或盖私章）和加盖公章后的原件方为有效；</w:t>
      </w:r>
    </w:p>
    <w:p w14:paraId="1C7B1E21">
      <w:pPr>
        <w:spacing w:line="360" w:lineRule="auto"/>
        <w:ind w:firstLine="420" w:firstLineChars="200"/>
        <w:rPr>
          <w:rFonts w:cs="Arial" w:asciiTheme="minorEastAsia" w:hAnsiTheme="minorEastAsia" w:eastAsiaTheme="minorEastAsia"/>
          <w:bCs/>
          <w:szCs w:val="21"/>
        </w:rPr>
      </w:pPr>
      <w:r>
        <w:rPr>
          <w:rFonts w:hint="eastAsia" w:cs="Arial" w:asciiTheme="minorEastAsia" w:hAnsiTheme="minorEastAsia" w:eastAsiaTheme="minorEastAsia"/>
          <w:bCs/>
          <w:szCs w:val="21"/>
        </w:rPr>
        <w:t>2.提供被授权人的身份证复印件（附后）。</w:t>
      </w:r>
    </w:p>
    <w:p w14:paraId="6EC287F4">
      <w:pPr>
        <w:spacing w:line="360" w:lineRule="auto"/>
        <w:ind w:firstLine="420" w:firstLineChars="200"/>
        <w:rPr>
          <w:rFonts w:cs="Arial" w:asciiTheme="minorEastAsia" w:hAnsiTheme="minorEastAsia" w:eastAsiaTheme="minorEastAsia"/>
          <w:bCs/>
          <w:szCs w:val="21"/>
        </w:rPr>
      </w:pPr>
    </w:p>
    <w:p w14:paraId="11E5CF3A">
      <w:pPr>
        <w:pStyle w:val="4"/>
        <w:spacing w:before="120" w:after="120" w:line="360" w:lineRule="auto"/>
        <w:jc w:val="center"/>
        <w:rPr>
          <w:rFonts w:asciiTheme="minorEastAsia" w:hAnsiTheme="minorEastAsia" w:eastAsiaTheme="minorEastAsia"/>
          <w:b w:val="0"/>
          <w:bCs w:val="0"/>
          <w:sz w:val="21"/>
          <w:szCs w:val="21"/>
        </w:rPr>
      </w:pPr>
      <w:bookmarkStart w:id="260" w:name="_Toc480447827"/>
      <w:r>
        <w:rPr>
          <w:rFonts w:hint="eastAsia" w:asciiTheme="minorEastAsia" w:hAnsiTheme="minorEastAsia" w:eastAsiaTheme="minorEastAsia"/>
          <w:sz w:val="21"/>
          <w:szCs w:val="21"/>
        </w:rPr>
        <w:br w:type="page"/>
      </w:r>
      <w:bookmarkStart w:id="261" w:name="_Toc480447825"/>
      <w:bookmarkStart w:id="262" w:name="_Toc1551990135"/>
      <w:r>
        <w:rPr>
          <w:rFonts w:hint="eastAsia" w:asciiTheme="minorEastAsia" w:hAnsiTheme="minorEastAsia" w:eastAsiaTheme="minorEastAsia"/>
          <w:sz w:val="21"/>
          <w:szCs w:val="21"/>
        </w:rPr>
        <w:t>8、投标函</w:t>
      </w:r>
      <w:bookmarkEnd w:id="261"/>
      <w:bookmarkEnd w:id="262"/>
    </w:p>
    <w:p w14:paraId="4E978071">
      <w:pPr>
        <w:spacing w:line="360" w:lineRule="auto"/>
        <w:rPr>
          <w:rFonts w:asciiTheme="minorEastAsia" w:hAnsiTheme="minorEastAsia" w:eastAsiaTheme="minorEastAsia"/>
          <w:szCs w:val="21"/>
        </w:rPr>
      </w:pPr>
    </w:p>
    <w:p w14:paraId="4F24B4DD">
      <w:pPr>
        <w:spacing w:line="360" w:lineRule="auto"/>
        <w:jc w:val="left"/>
        <w:rPr>
          <w:rFonts w:hint="default" w:asciiTheme="minorEastAsia" w:hAnsiTheme="minorEastAsia" w:eastAsiaTheme="minorEastAsia"/>
          <w:b/>
          <w:szCs w:val="21"/>
          <w:lang w:val="en-US" w:eastAsia="zh-CN"/>
        </w:rPr>
      </w:pPr>
      <w:r>
        <w:rPr>
          <w:rFonts w:hint="eastAsia" w:asciiTheme="minorEastAsia" w:hAnsiTheme="minorEastAsia" w:eastAsiaTheme="minorEastAsia"/>
          <w:b/>
          <w:szCs w:val="21"/>
        </w:rPr>
        <w:t>致</w:t>
      </w:r>
      <w:r>
        <w:rPr>
          <w:rFonts w:hint="eastAsia" w:asciiTheme="minorEastAsia" w:hAnsiTheme="minorEastAsia" w:eastAsiaTheme="minorEastAsia"/>
          <w:b/>
          <w:kern w:val="0"/>
          <w:szCs w:val="21"/>
        </w:rPr>
        <w:t>：</w:t>
      </w:r>
      <w:r>
        <w:rPr>
          <w:rFonts w:hint="eastAsia" w:asciiTheme="minorEastAsia" w:hAnsiTheme="minorEastAsia" w:eastAsiaTheme="minorEastAsia"/>
          <w:b/>
          <w:kern w:val="0"/>
          <w:szCs w:val="21"/>
          <w:lang w:val="en-US" w:eastAsia="zh-CN"/>
        </w:rPr>
        <w:t>深圳市科技创新战略研究中心（深圳虚拟大学园管理服务中心）</w:t>
      </w:r>
    </w:p>
    <w:p w14:paraId="2289B657">
      <w:pPr>
        <w:spacing w:line="360" w:lineRule="auto"/>
        <w:ind w:left="105" w:leftChars="50" w:firstLine="373" w:firstLineChars="178"/>
        <w:rPr>
          <w:rFonts w:asciiTheme="minorEastAsia" w:hAnsiTheme="minorEastAsia" w:eastAsiaTheme="minorEastAsia"/>
          <w:szCs w:val="21"/>
        </w:rPr>
      </w:pPr>
      <w:r>
        <w:rPr>
          <w:rFonts w:hint="eastAsia" w:asciiTheme="minorEastAsia" w:hAnsiTheme="minorEastAsia" w:eastAsiaTheme="minorEastAsia"/>
          <w:szCs w:val="21"/>
        </w:rPr>
        <w:t>我方确认收到贵方</w:t>
      </w:r>
      <w:r>
        <w:rPr>
          <w:rFonts w:hint="eastAsia" w:asciiTheme="minorEastAsia" w:hAnsiTheme="minorEastAsia" w:eastAsiaTheme="minorEastAsia"/>
          <w:kern w:val="28"/>
          <w:szCs w:val="21"/>
          <w:u w:val="single"/>
        </w:rPr>
        <w:t xml:space="preserve">           （项目名称）        </w:t>
      </w:r>
      <w:r>
        <w:rPr>
          <w:rFonts w:hint="eastAsia" w:asciiTheme="minorEastAsia" w:hAnsiTheme="minorEastAsia" w:eastAsiaTheme="minorEastAsia"/>
          <w:kern w:val="28"/>
          <w:szCs w:val="21"/>
        </w:rPr>
        <w:t>采购</w:t>
      </w:r>
      <w:r>
        <w:rPr>
          <w:rFonts w:hint="eastAsia" w:asciiTheme="minorEastAsia" w:hAnsiTheme="minorEastAsia" w:eastAsiaTheme="minorEastAsia"/>
          <w:szCs w:val="21"/>
        </w:rPr>
        <w:t xml:space="preserve">货物及相关服务的招标文件， </w:t>
      </w:r>
      <w:r>
        <w:rPr>
          <w:rFonts w:hint="eastAsia" w:asciiTheme="minorEastAsia" w:hAnsiTheme="minorEastAsia" w:eastAsiaTheme="minorEastAsia"/>
          <w:szCs w:val="21"/>
          <w:u w:val="single"/>
        </w:rPr>
        <w:t>(投标人名称、地址)</w:t>
      </w:r>
      <w:r>
        <w:rPr>
          <w:rFonts w:hint="eastAsia" w:asciiTheme="minorEastAsia" w:hAnsiTheme="minorEastAsia" w:eastAsiaTheme="minorEastAsia"/>
          <w:szCs w:val="21"/>
        </w:rPr>
        <w:t>作为投标人已正式授权</w:t>
      </w:r>
      <w:r>
        <w:rPr>
          <w:rFonts w:hint="eastAsia" w:asciiTheme="minorEastAsia" w:hAnsiTheme="minorEastAsia" w:eastAsiaTheme="minorEastAsia"/>
          <w:szCs w:val="21"/>
          <w:u w:val="single"/>
        </w:rPr>
        <w:t xml:space="preserve"> (被投标人授权代表全名、职务)</w:t>
      </w:r>
      <w:r>
        <w:rPr>
          <w:rFonts w:hint="eastAsia" w:asciiTheme="minorEastAsia" w:hAnsiTheme="minorEastAsia" w:eastAsiaTheme="minorEastAsia"/>
          <w:szCs w:val="21"/>
        </w:rPr>
        <w:t>为我方签名代表，签名代表在此声明并同意：</w:t>
      </w:r>
    </w:p>
    <w:p w14:paraId="33B1F272">
      <w:pPr>
        <w:numPr>
          <w:ilvl w:val="0"/>
          <w:numId w:val="1"/>
        </w:numPr>
        <w:tabs>
          <w:tab w:val="clear" w:pos="780"/>
        </w:tabs>
        <w:snapToGrid w:val="0"/>
        <w:spacing w:line="360" w:lineRule="auto"/>
        <w:ind w:left="426"/>
        <w:rPr>
          <w:rFonts w:asciiTheme="minorEastAsia" w:hAnsiTheme="minorEastAsia" w:eastAsiaTheme="minorEastAsia"/>
          <w:szCs w:val="21"/>
        </w:rPr>
      </w:pPr>
      <w:r>
        <w:rPr>
          <w:rFonts w:hint="eastAsia" w:asciiTheme="minorEastAsia" w:hAnsiTheme="minorEastAsia" w:eastAsiaTheme="minorEastAsia"/>
          <w:szCs w:val="21"/>
        </w:rPr>
        <w:t>我们愿意遵守招标文件的各项规定，自愿参加投标，并已清楚招标文件的要求及有关文件规定，并严格按照招标文件的规定履行全部责任和义务。</w:t>
      </w:r>
    </w:p>
    <w:p w14:paraId="59C64620">
      <w:pPr>
        <w:numPr>
          <w:ilvl w:val="0"/>
          <w:numId w:val="1"/>
        </w:numPr>
        <w:tabs>
          <w:tab w:val="clear" w:pos="780"/>
        </w:tabs>
        <w:snapToGrid w:val="0"/>
        <w:spacing w:line="360" w:lineRule="auto"/>
        <w:ind w:left="426"/>
        <w:rPr>
          <w:rFonts w:asciiTheme="minorEastAsia" w:hAnsiTheme="minorEastAsia" w:eastAsiaTheme="minorEastAsia"/>
          <w:szCs w:val="21"/>
        </w:rPr>
      </w:pPr>
      <w:r>
        <w:rPr>
          <w:rFonts w:hint="eastAsia" w:asciiTheme="minorEastAsia" w:hAnsiTheme="minorEastAsia" w:eastAsiaTheme="minorEastAsia"/>
          <w:szCs w:val="21"/>
        </w:rPr>
        <w:t>我们同意本投标文件的投标有效期从提交投标文件的截止之日起90日历日内有效。如果我们的投标被接受，则直至合同生效时止，本投标始终有效并不撤回已递交的投标文件。</w:t>
      </w:r>
    </w:p>
    <w:p w14:paraId="3B4AA968">
      <w:pPr>
        <w:numPr>
          <w:ilvl w:val="0"/>
          <w:numId w:val="1"/>
        </w:numPr>
        <w:tabs>
          <w:tab w:val="clear" w:pos="780"/>
        </w:tabs>
        <w:snapToGrid w:val="0"/>
        <w:spacing w:line="360" w:lineRule="auto"/>
        <w:ind w:left="426"/>
        <w:rPr>
          <w:rFonts w:asciiTheme="minorEastAsia" w:hAnsiTheme="minorEastAsia" w:eastAsiaTheme="minorEastAsia"/>
          <w:szCs w:val="21"/>
        </w:rPr>
      </w:pPr>
      <w:r>
        <w:rPr>
          <w:rFonts w:hint="eastAsia" w:asciiTheme="minorEastAsia" w:hAnsiTheme="minorEastAsia" w:eastAsiaTheme="minorEastAsia"/>
          <w:szCs w:val="21"/>
        </w:rPr>
        <w:t>我们已经详细地阅读并完全明白了全部招标文件及附件，包括澄清（如有）及参考文件，我们完全理解本招标文件的要求，我们同意放弃对招标文件提出不明或误解的一切权力。</w:t>
      </w:r>
    </w:p>
    <w:p w14:paraId="02C4F1C7">
      <w:pPr>
        <w:numPr>
          <w:ilvl w:val="0"/>
          <w:numId w:val="1"/>
        </w:numPr>
        <w:tabs>
          <w:tab w:val="clear" w:pos="780"/>
        </w:tabs>
        <w:snapToGrid w:val="0"/>
        <w:spacing w:line="360" w:lineRule="auto"/>
        <w:ind w:left="426"/>
        <w:rPr>
          <w:rFonts w:asciiTheme="minorEastAsia" w:hAnsiTheme="minorEastAsia" w:eastAsiaTheme="minorEastAsia"/>
          <w:szCs w:val="21"/>
        </w:rPr>
      </w:pPr>
      <w:r>
        <w:rPr>
          <w:rFonts w:hint="eastAsia" w:asciiTheme="minorEastAsia" w:hAnsiTheme="minorEastAsia" w:eastAsiaTheme="minorEastAsia"/>
          <w:szCs w:val="21"/>
        </w:rPr>
        <w:t>我们同意提供采购人与评审委员会要求的有关投标的一切数据或资料。</w:t>
      </w:r>
    </w:p>
    <w:p w14:paraId="51EB8FF7">
      <w:pPr>
        <w:numPr>
          <w:ilvl w:val="0"/>
          <w:numId w:val="1"/>
        </w:numPr>
        <w:tabs>
          <w:tab w:val="clear" w:pos="780"/>
        </w:tabs>
        <w:snapToGrid w:val="0"/>
        <w:spacing w:line="360" w:lineRule="auto"/>
        <w:ind w:left="426"/>
        <w:rPr>
          <w:rFonts w:asciiTheme="minorEastAsia" w:hAnsiTheme="minorEastAsia" w:eastAsiaTheme="minorEastAsia"/>
          <w:szCs w:val="21"/>
        </w:rPr>
      </w:pPr>
      <w:r>
        <w:rPr>
          <w:rFonts w:hint="eastAsia" w:asciiTheme="minorEastAsia" w:hAnsiTheme="minorEastAsia" w:eastAsiaTheme="minorEastAsia"/>
          <w:szCs w:val="21"/>
        </w:rPr>
        <w:t>我们理解采购人与评审委员会并无义务必须接受最低报价的投标或其它任何投标，完全理解采购人拒绝迟到的任何投标和最低投标报价不是被授予中标的唯一条件。</w:t>
      </w:r>
    </w:p>
    <w:p w14:paraId="1C9F6536">
      <w:pPr>
        <w:numPr>
          <w:ilvl w:val="0"/>
          <w:numId w:val="1"/>
        </w:numPr>
        <w:tabs>
          <w:tab w:val="clear" w:pos="780"/>
        </w:tabs>
        <w:snapToGrid w:val="0"/>
        <w:spacing w:line="360" w:lineRule="auto"/>
        <w:ind w:left="426"/>
        <w:rPr>
          <w:rFonts w:asciiTheme="minorEastAsia" w:hAnsiTheme="minorEastAsia" w:eastAsiaTheme="minorEastAsia"/>
          <w:szCs w:val="21"/>
        </w:rPr>
      </w:pPr>
      <w:r>
        <w:rPr>
          <w:rFonts w:hint="eastAsia" w:asciiTheme="minorEastAsia" w:hAnsiTheme="minorEastAsia" w:eastAsiaTheme="minorEastAsia"/>
          <w:szCs w:val="21"/>
        </w:rPr>
        <w:t xml:space="preserve">如果我们未对招标文件全部要求作出实质性响应，则完全同意并接受按无效投标处理。 </w:t>
      </w:r>
    </w:p>
    <w:p w14:paraId="7C807AF7">
      <w:pPr>
        <w:numPr>
          <w:ilvl w:val="0"/>
          <w:numId w:val="1"/>
        </w:numPr>
        <w:tabs>
          <w:tab w:val="clear" w:pos="780"/>
        </w:tabs>
        <w:snapToGrid w:val="0"/>
        <w:spacing w:line="360" w:lineRule="auto"/>
        <w:ind w:left="426"/>
        <w:rPr>
          <w:rFonts w:asciiTheme="minorEastAsia" w:hAnsiTheme="minorEastAsia" w:eastAsiaTheme="minorEastAsia"/>
          <w:szCs w:val="21"/>
        </w:rPr>
      </w:pPr>
      <w:r>
        <w:rPr>
          <w:rFonts w:hint="eastAsia" w:asciiTheme="minorEastAsia" w:hAnsiTheme="minorEastAsia" w:eastAsiaTheme="minorEastAsia"/>
          <w:szCs w:val="21"/>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单位（企业）承担。</w:t>
      </w:r>
    </w:p>
    <w:p w14:paraId="687C2707">
      <w:pPr>
        <w:numPr>
          <w:ilvl w:val="0"/>
          <w:numId w:val="1"/>
        </w:numPr>
        <w:tabs>
          <w:tab w:val="clear" w:pos="780"/>
        </w:tabs>
        <w:snapToGrid w:val="0"/>
        <w:spacing w:line="360" w:lineRule="auto"/>
        <w:ind w:left="426"/>
        <w:rPr>
          <w:rFonts w:asciiTheme="minorEastAsia" w:hAnsiTheme="minorEastAsia" w:eastAsiaTheme="minorEastAsia"/>
          <w:szCs w:val="21"/>
        </w:rPr>
      </w:pPr>
      <w:r>
        <w:rPr>
          <w:rFonts w:hint="eastAsia" w:asciiTheme="minorEastAsia" w:hAnsiTheme="minorEastAsia" w:eastAsiaTheme="minorEastAsia"/>
          <w:szCs w:val="21"/>
        </w:rPr>
        <w:t>如果我们提供的声明或承诺不真实，则完全同意认定为我司提供虚假材料，并同意作相应处理。</w:t>
      </w:r>
    </w:p>
    <w:p w14:paraId="2504963A">
      <w:pPr>
        <w:numPr>
          <w:ilvl w:val="0"/>
          <w:numId w:val="1"/>
        </w:numPr>
        <w:tabs>
          <w:tab w:val="clear" w:pos="780"/>
        </w:tabs>
        <w:snapToGrid w:val="0"/>
        <w:spacing w:line="360" w:lineRule="auto"/>
        <w:ind w:left="426"/>
        <w:rPr>
          <w:rFonts w:asciiTheme="minorEastAsia" w:hAnsiTheme="minorEastAsia" w:eastAsiaTheme="minorEastAsia"/>
          <w:szCs w:val="21"/>
        </w:rPr>
      </w:pPr>
      <w:r>
        <w:rPr>
          <w:rFonts w:hint="eastAsia" w:asciiTheme="minorEastAsia" w:hAnsiTheme="minorEastAsia" w:eastAsiaTheme="minorEastAsia"/>
          <w:szCs w:val="21"/>
        </w:rPr>
        <w:t>我们是依法注册的法人，在法律、财务及运作上完全独立于本项目采购人、用户单位（如有）。</w:t>
      </w:r>
    </w:p>
    <w:p w14:paraId="6E908729">
      <w:pPr>
        <w:numPr>
          <w:ilvl w:val="0"/>
          <w:numId w:val="1"/>
        </w:numPr>
        <w:tabs>
          <w:tab w:val="clear" w:pos="780"/>
        </w:tabs>
        <w:snapToGrid w:val="0"/>
        <w:spacing w:line="360" w:lineRule="auto"/>
        <w:ind w:left="426"/>
        <w:rPr>
          <w:rFonts w:asciiTheme="minorEastAsia" w:hAnsiTheme="minorEastAsia" w:eastAsiaTheme="minorEastAsia"/>
          <w:szCs w:val="21"/>
        </w:rPr>
      </w:pPr>
      <w:r>
        <w:rPr>
          <w:rFonts w:hint="eastAsia" w:asciiTheme="minorEastAsia" w:hAnsiTheme="minorEastAsia" w:eastAsiaTheme="minorEastAsia"/>
          <w:szCs w:val="21"/>
        </w:rPr>
        <w:t>所有有关本次投标的函电请寄：</w:t>
      </w:r>
      <w:r>
        <w:rPr>
          <w:rFonts w:hint="eastAsia" w:asciiTheme="minorEastAsia" w:hAnsiTheme="minorEastAsia" w:eastAsiaTheme="minorEastAsia"/>
          <w:szCs w:val="21"/>
          <w:u w:val="single"/>
        </w:rPr>
        <w:t xml:space="preserve">  （投标人地址）   </w:t>
      </w:r>
    </w:p>
    <w:p w14:paraId="70DC9761">
      <w:pPr>
        <w:autoSpaceDE w:val="0"/>
        <w:autoSpaceDN w:val="0"/>
        <w:adjustRightInd w:val="0"/>
        <w:spacing w:line="360" w:lineRule="auto"/>
        <w:ind w:left="420" w:firstLine="6"/>
        <w:rPr>
          <w:rFonts w:asciiTheme="minorEastAsia" w:hAnsiTheme="minorEastAsia" w:eastAsiaTheme="minorEastAsia"/>
          <w:szCs w:val="21"/>
        </w:rPr>
      </w:pPr>
      <w:r>
        <w:rPr>
          <w:rFonts w:hint="eastAsia" w:asciiTheme="minorEastAsia" w:hAnsiTheme="minorEastAsia" w:eastAsiaTheme="minorEastAsia"/>
          <w:szCs w:val="21"/>
        </w:rPr>
        <w:t xml:space="preserve">备注：本投标函内容不得擅自删改，否则视为无效投标。 </w:t>
      </w:r>
    </w:p>
    <w:p w14:paraId="1F6D2697">
      <w:pPr>
        <w:spacing w:line="360" w:lineRule="auto"/>
        <w:ind w:left="480"/>
        <w:rPr>
          <w:rFonts w:asciiTheme="minorEastAsia" w:hAnsiTheme="minorEastAsia" w:eastAsiaTheme="minorEastAsia"/>
          <w:szCs w:val="21"/>
        </w:rPr>
      </w:pPr>
    </w:p>
    <w:p w14:paraId="6ADD4058">
      <w:pPr>
        <w:adjustRightInd w:val="0"/>
        <w:snapToGrid w:val="0"/>
        <w:spacing w:line="360" w:lineRule="auto"/>
        <w:ind w:firstLine="436" w:firstLineChars="200"/>
        <w:rPr>
          <w:rFonts w:asciiTheme="minorEastAsia" w:hAnsiTheme="minorEastAsia" w:eastAsiaTheme="minorEastAsia"/>
          <w:szCs w:val="21"/>
          <w:u w:val="single"/>
        </w:rPr>
      </w:pPr>
      <w:r>
        <w:rPr>
          <w:rFonts w:hint="eastAsia" w:asciiTheme="minorEastAsia" w:hAnsiTheme="minorEastAsia" w:eastAsiaTheme="minorEastAsia"/>
          <w:spacing w:val="4"/>
          <w:szCs w:val="21"/>
        </w:rPr>
        <w:t>投标人名称：</w:t>
      </w:r>
    </w:p>
    <w:p w14:paraId="3203E65C">
      <w:pPr>
        <w:adjustRightInd w:val="0"/>
        <w:snapToGrid w:val="0"/>
        <w:spacing w:line="360" w:lineRule="auto"/>
        <w:ind w:firstLine="436" w:firstLineChars="200"/>
        <w:rPr>
          <w:rFonts w:asciiTheme="minorEastAsia" w:hAnsiTheme="minorEastAsia" w:eastAsiaTheme="minorEastAsia"/>
          <w:szCs w:val="21"/>
          <w:u w:val="single"/>
        </w:rPr>
      </w:pPr>
      <w:r>
        <w:rPr>
          <w:rFonts w:hint="eastAsia" w:asciiTheme="minorEastAsia" w:hAnsiTheme="minorEastAsia" w:eastAsiaTheme="minorEastAsia"/>
          <w:spacing w:val="4"/>
          <w:szCs w:val="21"/>
        </w:rPr>
        <w:t>投标人公章：</w:t>
      </w:r>
    </w:p>
    <w:p w14:paraId="29B4BA1C">
      <w:pPr>
        <w:adjustRightInd w:val="0"/>
        <w:snapToGrid w:val="0"/>
        <w:spacing w:line="360" w:lineRule="auto"/>
        <w:ind w:firstLine="432" w:firstLineChars="206"/>
        <w:rPr>
          <w:rFonts w:asciiTheme="minorEastAsia" w:hAnsiTheme="minorEastAsia" w:eastAsiaTheme="minorEastAsia"/>
          <w:spacing w:val="4"/>
          <w:szCs w:val="21"/>
          <w:u w:val="single"/>
        </w:rPr>
      </w:pPr>
      <w:r>
        <w:rPr>
          <w:rFonts w:hint="eastAsia" w:asciiTheme="minorEastAsia" w:hAnsiTheme="minorEastAsia" w:eastAsiaTheme="minorEastAsia"/>
          <w:szCs w:val="21"/>
        </w:rPr>
        <w:t>法定代表人或投标人授权代表（签名或盖章）：</w:t>
      </w:r>
    </w:p>
    <w:p w14:paraId="39B1D1E7">
      <w:pPr>
        <w:widowControl/>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rPr>
        <w:br w:type="page"/>
      </w:r>
    </w:p>
    <w:p w14:paraId="46A07B2F">
      <w:pPr>
        <w:pStyle w:val="6"/>
        <w:numPr>
          <w:ilvl w:val="0"/>
          <w:numId w:val="0"/>
        </w:numPr>
        <w:tabs>
          <w:tab w:val="left" w:pos="371"/>
        </w:tabs>
        <w:spacing w:before="120" w:after="120"/>
        <w:ind w:left="-1" w:leftChars="-1" w:hanging="1"/>
        <w:jc w:val="center"/>
        <w:rPr>
          <w:rFonts w:hint="eastAsia" w:cs="Times New Roman" w:asciiTheme="minorEastAsia" w:hAnsiTheme="minorEastAsia" w:eastAsiaTheme="minorEastAsia"/>
          <w:b/>
          <w:bCs/>
          <w:kern w:val="2"/>
          <w:sz w:val="21"/>
          <w:szCs w:val="21"/>
          <w:lang w:val="en-US" w:eastAsia="zh-CN" w:bidi="ar-SA"/>
        </w:rPr>
      </w:pPr>
      <w:r>
        <w:rPr>
          <w:rFonts w:hint="eastAsia" w:cs="Times New Roman" w:asciiTheme="minorEastAsia" w:hAnsiTheme="minorEastAsia" w:eastAsiaTheme="minorEastAsia"/>
          <w:b/>
          <w:bCs/>
          <w:kern w:val="2"/>
          <w:sz w:val="21"/>
          <w:szCs w:val="21"/>
          <w:lang w:val="en-US" w:eastAsia="zh-CN" w:bidi="ar-SA"/>
        </w:rPr>
        <w:t>9、开标一览表</w:t>
      </w:r>
    </w:p>
    <w:p w14:paraId="763729B6">
      <w:pPr>
        <w:pStyle w:val="88"/>
        <w:numPr>
          <w:ilvl w:val="0"/>
          <w:numId w:val="0"/>
        </w:numPr>
        <w:spacing w:line="360" w:lineRule="auto"/>
        <w:ind w:firstLine="420" w:firstLineChars="200"/>
        <w:rPr>
          <w:rFonts w:hint="default"/>
          <w:lang w:val="en-US" w:eastAsia="zh-CN"/>
        </w:rPr>
      </w:pPr>
      <w:r>
        <w:rPr>
          <w:rFonts w:hint="default"/>
          <w:lang w:val="en-US" w:eastAsia="zh-CN"/>
        </w:rPr>
        <w:t>投标人按照《深圳市财政委员会关于规范深圳市社会采购代理机构管理有关事项的补充通知》（深财购〔2018〕27号）收费标准，自行填报投标下浮率：</w:t>
      </w:r>
    </w:p>
    <w:tbl>
      <w:tblPr>
        <w:tblStyle w:val="48"/>
        <w:tblW w:w="94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9"/>
        <w:gridCol w:w="2642"/>
        <w:gridCol w:w="2566"/>
        <w:gridCol w:w="2318"/>
      </w:tblGrid>
      <w:tr w14:paraId="52165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1939" w:type="dxa"/>
            <w:tcBorders>
              <w:top w:val="single" w:color="000000" w:sz="4" w:space="0"/>
              <w:left w:val="single" w:color="000000" w:sz="4" w:space="0"/>
              <w:bottom w:val="single" w:color="000000" w:sz="4" w:space="0"/>
              <w:right w:val="single" w:color="000000" w:sz="4" w:space="0"/>
            </w:tcBorders>
            <w:noWrap w:val="0"/>
            <w:vAlign w:val="center"/>
          </w:tcPr>
          <w:p w14:paraId="5158F764">
            <w:pPr>
              <w:spacing w:line="360" w:lineRule="auto"/>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采购内容</w:t>
            </w:r>
          </w:p>
        </w:tc>
        <w:tc>
          <w:tcPr>
            <w:tcW w:w="2642" w:type="dxa"/>
            <w:tcBorders>
              <w:top w:val="single" w:color="000000" w:sz="4" w:space="0"/>
              <w:left w:val="single" w:color="000000" w:sz="4" w:space="0"/>
              <w:bottom w:val="single" w:color="000000" w:sz="4" w:space="0"/>
              <w:right w:val="single" w:color="000000" w:sz="4" w:space="0"/>
            </w:tcBorders>
            <w:noWrap w:val="0"/>
            <w:vAlign w:val="center"/>
          </w:tcPr>
          <w:p w14:paraId="70F55C23">
            <w:pPr>
              <w:spacing w:line="360" w:lineRule="auto"/>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基准价</w:t>
            </w:r>
          </w:p>
        </w:tc>
        <w:tc>
          <w:tcPr>
            <w:tcW w:w="2566" w:type="dxa"/>
            <w:tcBorders>
              <w:top w:val="single" w:color="000000" w:sz="4" w:space="0"/>
              <w:left w:val="single" w:color="000000" w:sz="4" w:space="0"/>
              <w:bottom w:val="single" w:color="000000" w:sz="4" w:space="0"/>
              <w:right w:val="single" w:color="000000" w:sz="4" w:space="0"/>
            </w:tcBorders>
            <w:noWrap w:val="0"/>
            <w:vAlign w:val="center"/>
          </w:tcPr>
          <w:p w14:paraId="1DFB7E69">
            <w:pPr>
              <w:spacing w:line="360" w:lineRule="auto"/>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投标下浮率（%）</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14:paraId="4836A6AA">
            <w:pPr>
              <w:spacing w:line="360" w:lineRule="auto"/>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服务期限</w:t>
            </w:r>
          </w:p>
        </w:tc>
      </w:tr>
      <w:tr w14:paraId="52EA6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1" w:hRule="atLeast"/>
          <w:jc w:val="center"/>
        </w:trPr>
        <w:tc>
          <w:tcPr>
            <w:tcW w:w="1939" w:type="dxa"/>
            <w:tcBorders>
              <w:top w:val="single" w:color="000000" w:sz="4" w:space="0"/>
              <w:left w:val="single" w:color="000000" w:sz="4" w:space="0"/>
              <w:bottom w:val="single" w:color="000000" w:sz="4" w:space="0"/>
              <w:right w:val="single" w:color="000000" w:sz="4" w:space="0"/>
            </w:tcBorders>
            <w:noWrap w:val="0"/>
            <w:vAlign w:val="center"/>
          </w:tcPr>
          <w:p w14:paraId="4987E649">
            <w:pPr>
              <w:spacing w:line="360" w:lineRule="auto"/>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选用招标代理机构</w:t>
            </w:r>
          </w:p>
        </w:tc>
        <w:tc>
          <w:tcPr>
            <w:tcW w:w="2642" w:type="dxa"/>
            <w:tcBorders>
              <w:top w:val="single" w:color="000000" w:sz="4" w:space="0"/>
              <w:left w:val="single" w:color="000000" w:sz="4" w:space="0"/>
              <w:bottom w:val="single" w:color="000000" w:sz="4" w:space="0"/>
              <w:right w:val="single" w:color="000000" w:sz="4" w:space="0"/>
            </w:tcBorders>
            <w:noWrap w:val="0"/>
            <w:vAlign w:val="center"/>
          </w:tcPr>
          <w:p w14:paraId="6A0E088D">
            <w:pPr>
              <w:spacing w:line="360" w:lineRule="auto"/>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参照“深财购〔2018〕27号”收费标准</w:t>
            </w:r>
          </w:p>
        </w:tc>
        <w:tc>
          <w:tcPr>
            <w:tcW w:w="2566" w:type="dxa"/>
            <w:tcBorders>
              <w:top w:val="single" w:color="000000" w:sz="4" w:space="0"/>
              <w:left w:val="single" w:color="000000" w:sz="4" w:space="0"/>
              <w:bottom w:val="single" w:color="000000" w:sz="4" w:space="0"/>
              <w:right w:val="single" w:color="000000" w:sz="4" w:space="0"/>
            </w:tcBorders>
            <w:noWrap w:val="0"/>
            <w:vAlign w:val="center"/>
          </w:tcPr>
          <w:p w14:paraId="4E744E01">
            <w:pPr>
              <w:spacing w:line="360" w:lineRule="auto"/>
              <w:rPr>
                <w:rFonts w:hint="default" w:ascii="Calibri" w:hAnsi="Calibri"/>
                <w:sz w:val="22"/>
                <w:szCs w:val="28"/>
                <w:lang w:val="en-US" w:eastAsia="zh-CN"/>
              </w:rPr>
            </w:pPr>
            <w:r>
              <w:rPr>
                <w:rFonts w:hint="default" w:ascii="Calibri" w:hAnsi="Calibri"/>
                <w:sz w:val="22"/>
                <w:szCs w:val="28"/>
                <w:lang w:val="en-US" w:eastAsia="zh-CN"/>
              </w:rPr>
              <w:t xml:space="preserve"> </w:t>
            </w:r>
            <w:r>
              <w:rPr>
                <w:rFonts w:hint="eastAsia" w:ascii="Calibri" w:hAnsi="Calibri"/>
                <w:sz w:val="22"/>
                <w:szCs w:val="28"/>
                <w:lang w:val="en-US" w:eastAsia="zh-CN"/>
              </w:rPr>
              <w:t xml:space="preserve">    </w:t>
            </w:r>
            <w:r>
              <w:rPr>
                <w:rFonts w:hint="default" w:ascii="Calibri" w:hAnsi="Calibri"/>
                <w:sz w:val="22"/>
                <w:szCs w:val="28"/>
                <w:lang w:val="en-US" w:eastAsia="zh-CN"/>
              </w:rPr>
              <w:t xml:space="preserve"> </w:t>
            </w:r>
            <w:r>
              <w:rPr>
                <w:rFonts w:hint="eastAsia" w:ascii="Calibri" w:hAnsi="Calibri"/>
                <w:sz w:val="22"/>
                <w:szCs w:val="28"/>
                <w:u w:val="single"/>
                <w:lang w:val="en-US" w:eastAsia="zh-CN"/>
              </w:rPr>
              <w:t xml:space="preserve">         </w:t>
            </w:r>
            <w:r>
              <w:rPr>
                <w:rFonts w:hint="default" w:ascii="Calibri" w:hAnsi="Calibri"/>
                <w:sz w:val="22"/>
                <w:szCs w:val="28"/>
                <w:lang w:val="en-US" w:eastAsia="zh-CN"/>
              </w:rPr>
              <w:t>%</w:t>
            </w:r>
          </w:p>
        </w:tc>
        <w:tc>
          <w:tcPr>
            <w:tcW w:w="2318" w:type="dxa"/>
            <w:tcBorders>
              <w:top w:val="single" w:color="000000" w:sz="4" w:space="0"/>
              <w:left w:val="single" w:color="000000" w:sz="4" w:space="0"/>
              <w:bottom w:val="single" w:color="000000" w:sz="4" w:space="0"/>
              <w:right w:val="single" w:color="000000" w:sz="4" w:space="0"/>
            </w:tcBorders>
            <w:noWrap w:val="0"/>
            <w:vAlign w:val="center"/>
          </w:tcPr>
          <w:p w14:paraId="434FDE98">
            <w:pPr>
              <w:spacing w:line="360" w:lineRule="auto"/>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w:t>
            </w:r>
          </w:p>
        </w:tc>
      </w:tr>
    </w:tbl>
    <w:p w14:paraId="75201293">
      <w:pPr>
        <w:spacing w:line="360" w:lineRule="auto"/>
        <w:rPr>
          <w:rFonts w:hint="default" w:ascii="Calibri" w:hAnsi="Calibri"/>
          <w:lang w:val="en-US" w:eastAsia="zh-CN"/>
        </w:rPr>
      </w:pPr>
      <w:r>
        <w:rPr>
          <w:rFonts w:hint="default" w:ascii="Calibri" w:hAnsi="Calibri"/>
          <w:lang w:val="en-US" w:eastAsia="zh-CN"/>
        </w:rPr>
        <w:t>说明：</w:t>
      </w:r>
    </w:p>
    <w:p w14:paraId="071B28F0">
      <w:pPr>
        <w:numPr>
          <w:ilvl w:val="0"/>
          <w:numId w:val="37"/>
        </w:numPr>
        <w:spacing w:line="360" w:lineRule="auto"/>
        <w:rPr>
          <w:rFonts w:hint="eastAsia" w:ascii="宋体" w:hAnsi="宋体" w:eastAsia="宋体" w:cs="宋体"/>
          <w:lang w:val="en-US" w:eastAsia="zh-CN"/>
        </w:rPr>
      </w:pPr>
      <w:r>
        <w:rPr>
          <w:rFonts w:hint="eastAsia" w:ascii="宋体" w:hAnsi="宋体" w:eastAsia="宋体" w:cs="宋体"/>
          <w:lang w:val="en-US" w:eastAsia="zh-CN"/>
        </w:rPr>
        <w:t>投标下浮率应当在0-100%之间，否则视为无效报价。</w:t>
      </w:r>
    </w:p>
    <w:p w14:paraId="3B05407C">
      <w:pPr>
        <w:numPr>
          <w:ilvl w:val="0"/>
          <w:numId w:val="37"/>
        </w:numPr>
        <w:spacing w:line="360" w:lineRule="auto"/>
        <w:rPr>
          <w:rFonts w:hint="eastAsia" w:ascii="宋体" w:hAnsi="宋体" w:eastAsia="宋体" w:cs="宋体"/>
          <w:lang w:val="en-US" w:eastAsia="zh-CN"/>
        </w:rPr>
      </w:pPr>
      <w:r>
        <w:rPr>
          <w:rFonts w:hint="eastAsia" w:ascii="宋体" w:hAnsi="宋体" w:eastAsia="宋体" w:cs="宋体"/>
          <w:lang w:val="en-US" w:eastAsia="zh-CN"/>
        </w:rPr>
        <w:t>采购代理服务费取费公式为：按“深财购〔2018〕27号”收费标准×（1-投标下浮率）。</w:t>
      </w:r>
    </w:p>
    <w:p w14:paraId="6690F1F1">
      <w:pPr>
        <w:adjustRightInd w:val="0"/>
        <w:snapToGrid w:val="0"/>
        <w:spacing w:line="360" w:lineRule="auto"/>
        <w:ind w:firstLine="1050" w:firstLineChars="500"/>
        <w:rPr>
          <w:snapToGrid w:val="0"/>
          <w:kern w:val="0"/>
        </w:rPr>
      </w:pPr>
    </w:p>
    <w:p w14:paraId="176D724B">
      <w:pPr>
        <w:pStyle w:val="19"/>
      </w:pPr>
    </w:p>
    <w:p w14:paraId="09A2EE4C">
      <w:pPr>
        <w:adjustRightInd w:val="0"/>
        <w:spacing w:line="312" w:lineRule="auto"/>
        <w:rPr>
          <w:rFonts w:ascii="宋体" w:hAnsi="宋体"/>
          <w:bCs/>
        </w:rPr>
      </w:pPr>
      <w:r>
        <w:rPr>
          <w:rFonts w:ascii="宋体" w:hAnsi="宋体"/>
          <w:snapToGrid w:val="0"/>
          <w:kern w:val="0"/>
        </w:rPr>
        <w:t>注：1、价格应按“招标文件”中规定</w:t>
      </w:r>
      <w:r>
        <w:rPr>
          <w:rFonts w:ascii="宋体" w:hAnsi="宋体"/>
          <w:bCs/>
        </w:rPr>
        <w:t>的货币单位填写。</w:t>
      </w:r>
    </w:p>
    <w:p w14:paraId="177C0406">
      <w:pPr>
        <w:adjustRightInd w:val="0"/>
        <w:spacing w:line="312" w:lineRule="auto"/>
        <w:ind w:left="2" w:firstLine="424" w:firstLineChars="202"/>
        <w:rPr>
          <w:rFonts w:ascii="宋体" w:hAnsi="宋体"/>
          <w:szCs w:val="21"/>
        </w:rPr>
      </w:pPr>
      <w:r>
        <w:rPr>
          <w:rFonts w:ascii="宋体" w:hAnsi="宋体"/>
          <w:bCs/>
        </w:rPr>
        <w:t>2、</w:t>
      </w:r>
      <w:r>
        <w:rPr>
          <w:rFonts w:ascii="宋体" w:hAnsi="宋体"/>
          <w:snapToGrid w:val="0"/>
          <w:kern w:val="0"/>
        </w:rPr>
        <w:t>此表应经法定代表人或其授权委托人签名，并加盖公章。</w:t>
      </w:r>
    </w:p>
    <w:p w14:paraId="46D2F286">
      <w:pPr>
        <w:adjustRightInd w:val="0"/>
        <w:spacing w:line="312" w:lineRule="auto"/>
        <w:ind w:firstLine="437"/>
        <w:rPr>
          <w:rFonts w:ascii="宋体" w:hAnsi="宋体"/>
          <w:b/>
          <w:snapToGrid w:val="0"/>
          <w:kern w:val="0"/>
          <w:sz w:val="24"/>
        </w:rPr>
      </w:pPr>
    </w:p>
    <w:p w14:paraId="56926A82">
      <w:pPr>
        <w:pStyle w:val="2"/>
      </w:pPr>
    </w:p>
    <w:p w14:paraId="36A6AD05">
      <w:pPr>
        <w:adjustRightInd w:val="0"/>
        <w:snapToGrid w:val="0"/>
        <w:spacing w:line="300" w:lineRule="auto"/>
        <w:rPr>
          <w:snapToGrid w:val="0"/>
          <w:kern w:val="0"/>
        </w:rPr>
      </w:pPr>
      <w:r>
        <w:rPr>
          <w:rFonts w:hint="eastAsia"/>
          <w:snapToGrid w:val="0"/>
          <w:kern w:val="0"/>
        </w:rPr>
        <w:t>投标单位：（盖章）</w:t>
      </w:r>
    </w:p>
    <w:p w14:paraId="2A3E8262">
      <w:pPr>
        <w:adjustRightInd w:val="0"/>
        <w:snapToGrid w:val="0"/>
        <w:spacing w:line="300" w:lineRule="auto"/>
        <w:rPr>
          <w:snapToGrid w:val="0"/>
          <w:kern w:val="0"/>
        </w:rPr>
      </w:pPr>
    </w:p>
    <w:p w14:paraId="6FC15B20">
      <w:pPr>
        <w:adjustRightInd w:val="0"/>
        <w:snapToGrid w:val="0"/>
        <w:spacing w:line="300" w:lineRule="auto"/>
        <w:rPr>
          <w:snapToGrid w:val="0"/>
          <w:kern w:val="0"/>
        </w:rPr>
      </w:pPr>
      <w:r>
        <w:rPr>
          <w:rFonts w:hint="eastAsia"/>
          <w:snapToGrid w:val="0"/>
          <w:kern w:val="0"/>
        </w:rPr>
        <w:t>授权代表或法定代表人：（签字）</w:t>
      </w:r>
    </w:p>
    <w:p w14:paraId="7C849FB4">
      <w:pPr>
        <w:spacing w:line="400" w:lineRule="exact"/>
        <w:ind w:firstLine="420" w:firstLineChars="200"/>
        <w:jc w:val="right"/>
      </w:pPr>
      <w:r>
        <w:rPr>
          <w:rFonts w:hint="eastAsia"/>
        </w:rPr>
        <w:t>年     月    日</w:t>
      </w:r>
    </w:p>
    <w:p w14:paraId="0628E4E5">
      <w:pPr>
        <w:adjustRightInd w:val="0"/>
        <w:spacing w:line="312" w:lineRule="auto"/>
        <w:ind w:firstLine="437"/>
        <w:rPr>
          <w:rFonts w:hint="eastAsia" w:asciiTheme="minorEastAsia" w:hAnsiTheme="minorEastAsia" w:eastAsiaTheme="minorEastAsia"/>
          <w:sz w:val="21"/>
          <w:szCs w:val="21"/>
        </w:rPr>
      </w:pPr>
      <w:r>
        <w:rPr>
          <w:rFonts w:asciiTheme="minorEastAsia" w:hAnsiTheme="minorEastAsia" w:eastAsiaTheme="minorEastAsia"/>
          <w:b/>
          <w:bCs/>
          <w:sz w:val="24"/>
        </w:rPr>
        <w:br w:type="page"/>
      </w:r>
    </w:p>
    <w:p w14:paraId="120B8CEB">
      <w:pPr>
        <w:pStyle w:val="4"/>
        <w:spacing w:before="120" w:after="120" w:line="360" w:lineRule="auto"/>
        <w:jc w:val="center"/>
        <w:rPr>
          <w:rFonts w:hint="eastAsia" w:asciiTheme="minorEastAsia" w:hAnsiTheme="minorEastAsia" w:eastAsiaTheme="minorEastAsia"/>
          <w:sz w:val="21"/>
          <w:szCs w:val="21"/>
          <w:lang w:eastAsia="zh-CN"/>
        </w:rPr>
      </w:pPr>
      <w:bookmarkStart w:id="263" w:name="_Toc1324619732"/>
      <w:r>
        <w:rPr>
          <w:rFonts w:hint="eastAsia" w:asciiTheme="minorEastAsia" w:hAnsiTheme="minorEastAsia" w:eastAsiaTheme="minorEastAsia"/>
          <w:sz w:val="21"/>
          <w:szCs w:val="21"/>
          <w:lang w:val="en-US" w:eastAsia="zh-CN"/>
        </w:rPr>
        <w:t>10、</w:t>
      </w:r>
      <w:r>
        <w:rPr>
          <w:rFonts w:hint="eastAsia" w:asciiTheme="minorEastAsia" w:hAnsiTheme="minorEastAsia" w:eastAsiaTheme="minorEastAsia"/>
          <w:sz w:val="21"/>
          <w:szCs w:val="21"/>
        </w:rPr>
        <w:t>供应商</w:t>
      </w:r>
      <w:bookmarkEnd w:id="260"/>
      <w:r>
        <w:rPr>
          <w:rFonts w:hint="eastAsia" w:asciiTheme="minorEastAsia" w:hAnsiTheme="minorEastAsia" w:eastAsiaTheme="minorEastAsia"/>
          <w:sz w:val="21"/>
          <w:szCs w:val="21"/>
          <w:lang w:eastAsia="zh-CN"/>
        </w:rPr>
        <w:t>基本情况表</w:t>
      </w:r>
      <w:bookmarkEnd w:id="263"/>
    </w:p>
    <w:p w14:paraId="1D23494D">
      <w:pPr>
        <w:keepNext w:val="0"/>
        <w:keepLines w:val="0"/>
        <w:pageBreakBefore w:val="0"/>
        <w:widowControl w:val="0"/>
        <w:kinsoku/>
        <w:wordWrap/>
        <w:overflowPunct/>
        <w:topLinePunct w:val="0"/>
        <w:autoSpaceDE/>
        <w:autoSpaceDN/>
        <w:bidi w:val="0"/>
        <w:adjustRightInd/>
        <w:snapToGrid/>
        <w:spacing w:before="160" w:line="400" w:lineRule="exact"/>
        <w:ind w:left="126"/>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填表单位</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加盖单位公章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z w:val="24"/>
          <w:szCs w:val="24"/>
        </w:rPr>
        <w:t>填表日期：</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z w:val="24"/>
          <w:szCs w:val="24"/>
        </w:rPr>
        <w:t>年  月  日</w:t>
      </w:r>
    </w:p>
    <w:tbl>
      <w:tblPr>
        <w:tblStyle w:val="334"/>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09EA5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noWrap w:val="0"/>
            <w:vAlign w:val="top"/>
          </w:tcPr>
          <w:p w14:paraId="75E4C331">
            <w:pPr>
              <w:pStyle w:val="333"/>
              <w:keepNext w:val="0"/>
              <w:keepLines w:val="0"/>
              <w:pageBreakBefore w:val="0"/>
              <w:widowControl w:val="0"/>
              <w:kinsoku/>
              <w:wordWrap/>
              <w:overflowPunct/>
              <w:topLinePunct w:val="0"/>
              <w:autoSpaceDE/>
              <w:autoSpaceDN/>
              <w:bidi w:val="0"/>
              <w:adjustRightInd/>
              <w:snapToGrid/>
              <w:spacing w:before="180" w:line="400" w:lineRule="exact"/>
              <w:ind w:left="359"/>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采购人</w:t>
            </w:r>
          </w:p>
        </w:tc>
        <w:tc>
          <w:tcPr>
            <w:tcW w:w="2551" w:type="dxa"/>
            <w:gridSpan w:val="2"/>
            <w:noWrap w:val="0"/>
            <w:vAlign w:val="top"/>
          </w:tcPr>
          <w:p w14:paraId="2882D7C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990" w:type="dxa"/>
            <w:gridSpan w:val="2"/>
            <w:noWrap w:val="0"/>
            <w:vAlign w:val="top"/>
          </w:tcPr>
          <w:p w14:paraId="7670C55F">
            <w:pPr>
              <w:pStyle w:val="333"/>
              <w:keepNext w:val="0"/>
              <w:keepLines w:val="0"/>
              <w:pageBreakBefore w:val="0"/>
              <w:widowControl w:val="0"/>
              <w:kinsoku/>
              <w:wordWrap/>
              <w:overflowPunct/>
              <w:topLinePunct w:val="0"/>
              <w:autoSpaceDE/>
              <w:autoSpaceDN/>
              <w:bidi w:val="0"/>
              <w:adjustRightInd/>
              <w:snapToGrid/>
              <w:spacing w:before="181" w:line="400" w:lineRule="exact"/>
              <w:ind w:left="527"/>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
                <w:sz w:val="22"/>
                <w:szCs w:val="22"/>
              </w:rPr>
              <w:t>项目名称</w:t>
            </w:r>
          </w:p>
        </w:tc>
        <w:tc>
          <w:tcPr>
            <w:tcW w:w="2988" w:type="dxa"/>
            <w:gridSpan w:val="2"/>
            <w:noWrap w:val="0"/>
            <w:vAlign w:val="top"/>
          </w:tcPr>
          <w:p w14:paraId="4B09D85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r>
      <w:tr w14:paraId="6CDFA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noWrap w:val="0"/>
            <w:vAlign w:val="top"/>
          </w:tcPr>
          <w:p w14:paraId="42E7A84D">
            <w:pPr>
              <w:pStyle w:val="333"/>
              <w:keepNext w:val="0"/>
              <w:keepLines w:val="0"/>
              <w:pageBreakBefore w:val="0"/>
              <w:widowControl w:val="0"/>
              <w:kinsoku/>
              <w:wordWrap/>
              <w:overflowPunct/>
              <w:topLinePunct w:val="0"/>
              <w:autoSpaceDE/>
              <w:autoSpaceDN/>
              <w:bidi w:val="0"/>
              <w:adjustRightInd/>
              <w:snapToGrid/>
              <w:spacing w:before="40" w:line="400" w:lineRule="exact"/>
              <w:ind w:left="126" w:right="105" w:firstLine="111"/>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投标（响</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5"/>
                <w:sz w:val="22"/>
                <w:szCs w:val="22"/>
              </w:rPr>
              <w:t>应）供应商</w:t>
            </w:r>
          </w:p>
        </w:tc>
        <w:tc>
          <w:tcPr>
            <w:tcW w:w="2551" w:type="dxa"/>
            <w:gridSpan w:val="2"/>
            <w:noWrap w:val="0"/>
            <w:vAlign w:val="top"/>
          </w:tcPr>
          <w:p w14:paraId="6075298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990" w:type="dxa"/>
            <w:gridSpan w:val="2"/>
            <w:noWrap w:val="0"/>
            <w:vAlign w:val="top"/>
          </w:tcPr>
          <w:p w14:paraId="13FE9559">
            <w:pPr>
              <w:pStyle w:val="333"/>
              <w:keepNext w:val="0"/>
              <w:keepLines w:val="0"/>
              <w:pageBreakBefore w:val="0"/>
              <w:widowControl w:val="0"/>
              <w:kinsoku/>
              <w:wordWrap/>
              <w:overflowPunct/>
              <w:topLinePunct w:val="0"/>
              <w:autoSpaceDE/>
              <w:autoSpaceDN/>
              <w:bidi w:val="0"/>
              <w:adjustRightInd/>
              <w:snapToGrid/>
              <w:spacing w:before="40" w:line="400" w:lineRule="exact"/>
              <w:ind w:left="527" w:right="152" w:hanging="362"/>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供应商统一社会</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3"/>
                <w:sz w:val="22"/>
                <w:szCs w:val="22"/>
              </w:rPr>
              <w:t>信用代码</w:t>
            </w:r>
          </w:p>
        </w:tc>
        <w:tc>
          <w:tcPr>
            <w:tcW w:w="2988" w:type="dxa"/>
            <w:gridSpan w:val="2"/>
            <w:noWrap w:val="0"/>
            <w:vAlign w:val="top"/>
          </w:tcPr>
          <w:p w14:paraId="6243992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r>
      <w:tr w14:paraId="40395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6655DE4C">
            <w:pPr>
              <w:pStyle w:val="333"/>
              <w:keepNext w:val="0"/>
              <w:keepLines w:val="0"/>
              <w:pageBreakBefore w:val="0"/>
              <w:widowControl w:val="0"/>
              <w:kinsoku/>
              <w:wordWrap/>
              <w:overflowPunct/>
              <w:topLinePunct w:val="0"/>
              <w:autoSpaceDE/>
              <w:autoSpaceDN/>
              <w:bidi w:val="0"/>
              <w:adjustRightInd/>
              <w:snapToGrid/>
              <w:spacing w:before="175" w:line="400" w:lineRule="exact"/>
              <w:ind w:left="2683"/>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rPr>
              <w:t>投标（响应）供应商相关人员情况</w:t>
            </w:r>
          </w:p>
        </w:tc>
      </w:tr>
      <w:tr w14:paraId="518B7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2078B5CD">
            <w:pPr>
              <w:pStyle w:val="333"/>
              <w:keepNext w:val="0"/>
              <w:keepLines w:val="0"/>
              <w:pageBreakBefore w:val="0"/>
              <w:widowControl w:val="0"/>
              <w:kinsoku/>
              <w:wordWrap/>
              <w:overflowPunct/>
              <w:topLinePunct w:val="0"/>
              <w:autoSpaceDE/>
              <w:autoSpaceDN/>
              <w:bidi w:val="0"/>
              <w:adjustRightInd/>
              <w:snapToGrid/>
              <w:spacing w:before="217" w:line="400" w:lineRule="exact"/>
              <w:ind w:left="145"/>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序号</w:t>
            </w:r>
          </w:p>
        </w:tc>
        <w:tc>
          <w:tcPr>
            <w:tcW w:w="2281" w:type="dxa"/>
            <w:gridSpan w:val="2"/>
            <w:noWrap w:val="0"/>
            <w:vAlign w:val="top"/>
          </w:tcPr>
          <w:p w14:paraId="437895CE">
            <w:pPr>
              <w:pStyle w:val="333"/>
              <w:keepNext w:val="0"/>
              <w:keepLines w:val="0"/>
              <w:pageBreakBefore w:val="0"/>
              <w:widowControl w:val="0"/>
              <w:kinsoku/>
              <w:wordWrap/>
              <w:overflowPunct/>
              <w:topLinePunct w:val="0"/>
              <w:autoSpaceDE/>
              <w:autoSpaceDN/>
              <w:bidi w:val="0"/>
              <w:adjustRightInd/>
              <w:snapToGrid/>
              <w:spacing w:before="213" w:line="400" w:lineRule="exact"/>
              <w:ind w:left="916"/>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6"/>
                <w:sz w:val="22"/>
                <w:szCs w:val="22"/>
              </w:rPr>
              <w:t>职务</w:t>
            </w:r>
          </w:p>
        </w:tc>
        <w:tc>
          <w:tcPr>
            <w:tcW w:w="946" w:type="dxa"/>
            <w:noWrap w:val="0"/>
            <w:vAlign w:val="top"/>
          </w:tcPr>
          <w:p w14:paraId="1F1A693B">
            <w:pPr>
              <w:pStyle w:val="333"/>
              <w:keepNext w:val="0"/>
              <w:keepLines w:val="0"/>
              <w:pageBreakBefore w:val="0"/>
              <w:widowControl w:val="0"/>
              <w:kinsoku/>
              <w:wordWrap/>
              <w:overflowPunct/>
              <w:topLinePunct w:val="0"/>
              <w:autoSpaceDE/>
              <w:autoSpaceDN/>
              <w:bidi w:val="0"/>
              <w:adjustRightInd/>
              <w:snapToGrid/>
              <w:spacing w:before="213" w:line="400" w:lineRule="exact"/>
              <w:ind w:left="245"/>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姓名</w:t>
            </w:r>
          </w:p>
        </w:tc>
        <w:tc>
          <w:tcPr>
            <w:tcW w:w="1990" w:type="dxa"/>
            <w:gridSpan w:val="2"/>
            <w:noWrap w:val="0"/>
            <w:vAlign w:val="top"/>
          </w:tcPr>
          <w:p w14:paraId="35C200C0">
            <w:pPr>
              <w:pStyle w:val="333"/>
              <w:keepNext w:val="0"/>
              <w:keepLines w:val="0"/>
              <w:pageBreakBefore w:val="0"/>
              <w:widowControl w:val="0"/>
              <w:kinsoku/>
              <w:wordWrap/>
              <w:overflowPunct/>
              <w:topLinePunct w:val="0"/>
              <w:autoSpaceDE/>
              <w:autoSpaceDN/>
              <w:bidi w:val="0"/>
              <w:adjustRightInd/>
              <w:snapToGrid/>
              <w:spacing w:before="214" w:line="400" w:lineRule="exact"/>
              <w:ind w:left="41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
                <w:sz w:val="22"/>
                <w:szCs w:val="22"/>
              </w:rPr>
              <w:t>身份证号码</w:t>
            </w:r>
          </w:p>
        </w:tc>
        <w:tc>
          <w:tcPr>
            <w:tcW w:w="1499" w:type="dxa"/>
            <w:noWrap w:val="0"/>
            <w:vAlign w:val="top"/>
          </w:tcPr>
          <w:p w14:paraId="2859B6E8">
            <w:pPr>
              <w:pStyle w:val="333"/>
              <w:keepNext w:val="0"/>
              <w:keepLines w:val="0"/>
              <w:pageBreakBefore w:val="0"/>
              <w:widowControl w:val="0"/>
              <w:kinsoku/>
              <w:wordWrap/>
              <w:overflowPunct/>
              <w:topLinePunct w:val="0"/>
              <w:autoSpaceDE/>
              <w:autoSpaceDN/>
              <w:bidi w:val="0"/>
              <w:adjustRightInd/>
              <w:snapToGrid/>
              <w:spacing w:before="39" w:line="400" w:lineRule="exact"/>
              <w:ind w:left="288" w:right="266" w:firstLine="5"/>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7"/>
                <w:sz w:val="22"/>
                <w:szCs w:val="22"/>
              </w:rPr>
              <w:t>劳动合同</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6"/>
                <w:sz w:val="22"/>
                <w:szCs w:val="22"/>
              </w:rPr>
              <w:t>关系单位</w:t>
            </w:r>
          </w:p>
        </w:tc>
        <w:tc>
          <w:tcPr>
            <w:tcW w:w="1489" w:type="dxa"/>
            <w:noWrap w:val="0"/>
            <w:vAlign w:val="top"/>
          </w:tcPr>
          <w:p w14:paraId="201EFD08">
            <w:pPr>
              <w:pStyle w:val="333"/>
              <w:keepNext w:val="0"/>
              <w:keepLines w:val="0"/>
              <w:pageBreakBefore w:val="0"/>
              <w:widowControl w:val="0"/>
              <w:kinsoku/>
              <w:wordWrap/>
              <w:overflowPunct/>
              <w:topLinePunct w:val="0"/>
              <w:autoSpaceDE/>
              <w:autoSpaceDN/>
              <w:bidi w:val="0"/>
              <w:adjustRightInd/>
              <w:snapToGrid/>
              <w:spacing w:before="39" w:line="400" w:lineRule="exact"/>
              <w:ind w:left="271" w:right="262" w:firstLine="8"/>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缴纳社会</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3"/>
                <w:sz w:val="22"/>
                <w:szCs w:val="22"/>
              </w:rPr>
              <w:t>保险单位</w:t>
            </w:r>
          </w:p>
        </w:tc>
      </w:tr>
      <w:tr w14:paraId="7AF40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noWrap w:val="0"/>
            <w:vAlign w:val="top"/>
          </w:tcPr>
          <w:p w14:paraId="708BDC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p w14:paraId="71672588">
            <w:pPr>
              <w:pStyle w:val="333"/>
              <w:keepNext w:val="0"/>
              <w:keepLines w:val="0"/>
              <w:pageBreakBefore w:val="0"/>
              <w:widowControl w:val="0"/>
              <w:kinsoku/>
              <w:wordWrap/>
              <w:overflowPunct/>
              <w:topLinePunct w:val="0"/>
              <w:autoSpaceDE/>
              <w:autoSpaceDN/>
              <w:bidi w:val="0"/>
              <w:adjustRightInd/>
              <w:snapToGrid/>
              <w:spacing w:before="103" w:line="400" w:lineRule="exact"/>
              <w:ind w:left="321"/>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2281" w:type="dxa"/>
            <w:gridSpan w:val="2"/>
            <w:noWrap w:val="0"/>
            <w:vAlign w:val="top"/>
          </w:tcPr>
          <w:p w14:paraId="4D09FCC6">
            <w:pPr>
              <w:pStyle w:val="333"/>
              <w:keepNext w:val="0"/>
              <w:keepLines w:val="0"/>
              <w:pageBreakBefore w:val="0"/>
              <w:widowControl w:val="0"/>
              <w:kinsoku/>
              <w:wordWrap/>
              <w:overflowPunct/>
              <w:topLinePunct w:val="0"/>
              <w:autoSpaceDE/>
              <w:autoSpaceDN/>
              <w:bidi w:val="0"/>
              <w:adjustRightInd/>
              <w:snapToGrid/>
              <w:spacing w:before="174" w:line="400" w:lineRule="exact"/>
              <w:ind w:left="240" w:right="116" w:hanging="101"/>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w w:val="98"/>
                <w:sz w:val="21"/>
                <w:szCs w:val="21"/>
              </w:rPr>
              <w:t>法定代表人/单位负责</w:t>
            </w:r>
            <w:r>
              <w:rPr>
                <w:rFonts w:hint="eastAsia" w:asciiTheme="minorEastAsia" w:hAnsiTheme="minorEastAsia" w:eastAsiaTheme="minorEastAsia" w:cstheme="minorEastAsia"/>
                <w:spacing w:val="16"/>
                <w:w w:val="101"/>
                <w:sz w:val="21"/>
                <w:szCs w:val="21"/>
              </w:rPr>
              <w:t xml:space="preserve"> </w:t>
            </w:r>
            <w:r>
              <w:rPr>
                <w:rFonts w:hint="eastAsia" w:asciiTheme="minorEastAsia" w:hAnsiTheme="minorEastAsia" w:eastAsiaTheme="minorEastAsia" w:cstheme="minorEastAsia"/>
                <w:spacing w:val="-6"/>
                <w:sz w:val="21"/>
                <w:szCs w:val="21"/>
              </w:rPr>
              <w:t>人/主要经营负责人</w:t>
            </w:r>
          </w:p>
        </w:tc>
        <w:tc>
          <w:tcPr>
            <w:tcW w:w="946" w:type="dxa"/>
            <w:noWrap w:val="0"/>
            <w:vAlign w:val="top"/>
          </w:tcPr>
          <w:p w14:paraId="0401B3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990" w:type="dxa"/>
            <w:gridSpan w:val="2"/>
            <w:noWrap w:val="0"/>
            <w:vAlign w:val="top"/>
          </w:tcPr>
          <w:p w14:paraId="1413C3A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499" w:type="dxa"/>
            <w:noWrap w:val="0"/>
            <w:vAlign w:val="top"/>
          </w:tcPr>
          <w:p w14:paraId="4F14688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489" w:type="dxa"/>
            <w:noWrap w:val="0"/>
            <w:vAlign w:val="top"/>
          </w:tcPr>
          <w:p w14:paraId="4078FC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r>
      <w:tr w14:paraId="2C37F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3AB1CB89">
            <w:pPr>
              <w:pStyle w:val="333"/>
              <w:keepNext w:val="0"/>
              <w:keepLines w:val="0"/>
              <w:pageBreakBefore w:val="0"/>
              <w:widowControl w:val="0"/>
              <w:kinsoku/>
              <w:wordWrap/>
              <w:overflowPunct/>
              <w:topLinePunct w:val="0"/>
              <w:autoSpaceDE/>
              <w:autoSpaceDN/>
              <w:bidi w:val="0"/>
              <w:adjustRightInd/>
              <w:snapToGrid/>
              <w:spacing w:before="211" w:line="400" w:lineRule="exact"/>
              <w:ind w:left="322"/>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c>
          <w:tcPr>
            <w:tcW w:w="2281" w:type="dxa"/>
            <w:gridSpan w:val="2"/>
            <w:noWrap w:val="0"/>
            <w:vAlign w:val="top"/>
          </w:tcPr>
          <w:p w14:paraId="4BF5971B">
            <w:pPr>
              <w:pStyle w:val="333"/>
              <w:keepNext w:val="0"/>
              <w:keepLines w:val="0"/>
              <w:pageBreakBefore w:val="0"/>
              <w:widowControl w:val="0"/>
              <w:kinsoku/>
              <w:wordWrap/>
              <w:overflowPunct/>
              <w:topLinePunct w:val="0"/>
              <w:autoSpaceDE/>
              <w:autoSpaceDN/>
              <w:bidi w:val="0"/>
              <w:adjustRightInd/>
              <w:snapToGrid/>
              <w:spacing w:before="190" w:line="400" w:lineRule="exact"/>
              <w:ind w:left="161"/>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项目投标授权代表人</w:t>
            </w:r>
          </w:p>
        </w:tc>
        <w:tc>
          <w:tcPr>
            <w:tcW w:w="946" w:type="dxa"/>
            <w:noWrap w:val="0"/>
            <w:vAlign w:val="top"/>
          </w:tcPr>
          <w:p w14:paraId="63F9032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990" w:type="dxa"/>
            <w:gridSpan w:val="2"/>
            <w:noWrap w:val="0"/>
            <w:vAlign w:val="top"/>
          </w:tcPr>
          <w:p w14:paraId="00A71B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499" w:type="dxa"/>
            <w:noWrap w:val="0"/>
            <w:vAlign w:val="top"/>
          </w:tcPr>
          <w:p w14:paraId="2C0D8C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489" w:type="dxa"/>
            <w:noWrap w:val="0"/>
            <w:vAlign w:val="top"/>
          </w:tcPr>
          <w:p w14:paraId="1532F5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r>
      <w:tr w14:paraId="4A20D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252E7CED">
            <w:pPr>
              <w:pStyle w:val="333"/>
              <w:keepNext w:val="0"/>
              <w:keepLines w:val="0"/>
              <w:pageBreakBefore w:val="0"/>
              <w:widowControl w:val="0"/>
              <w:kinsoku/>
              <w:wordWrap/>
              <w:overflowPunct/>
              <w:topLinePunct w:val="0"/>
              <w:autoSpaceDE/>
              <w:autoSpaceDN/>
              <w:bidi w:val="0"/>
              <w:adjustRightInd/>
              <w:snapToGrid/>
              <w:spacing w:before="210" w:line="400" w:lineRule="exact"/>
              <w:ind w:left="321"/>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p>
        </w:tc>
        <w:tc>
          <w:tcPr>
            <w:tcW w:w="2281" w:type="dxa"/>
            <w:gridSpan w:val="2"/>
            <w:noWrap w:val="0"/>
            <w:vAlign w:val="top"/>
          </w:tcPr>
          <w:p w14:paraId="30541EEB">
            <w:pPr>
              <w:pStyle w:val="333"/>
              <w:keepNext w:val="0"/>
              <w:keepLines w:val="0"/>
              <w:pageBreakBefore w:val="0"/>
              <w:widowControl w:val="0"/>
              <w:kinsoku/>
              <w:wordWrap/>
              <w:overflowPunct/>
              <w:topLinePunct w:val="0"/>
              <w:autoSpaceDE/>
              <w:autoSpaceDN/>
              <w:bidi w:val="0"/>
              <w:adjustRightInd/>
              <w:snapToGrid/>
              <w:spacing w:before="178" w:line="400" w:lineRule="exact"/>
              <w:ind w:left="551"/>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
                <w:sz w:val="22"/>
                <w:szCs w:val="22"/>
              </w:rPr>
              <w:t>项目负责人</w:t>
            </w:r>
          </w:p>
        </w:tc>
        <w:tc>
          <w:tcPr>
            <w:tcW w:w="946" w:type="dxa"/>
            <w:noWrap w:val="0"/>
            <w:vAlign w:val="top"/>
          </w:tcPr>
          <w:p w14:paraId="2DDB23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990" w:type="dxa"/>
            <w:gridSpan w:val="2"/>
            <w:noWrap w:val="0"/>
            <w:vAlign w:val="top"/>
          </w:tcPr>
          <w:p w14:paraId="06F2E98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499" w:type="dxa"/>
            <w:noWrap w:val="0"/>
            <w:vAlign w:val="top"/>
          </w:tcPr>
          <w:p w14:paraId="6E9758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489" w:type="dxa"/>
            <w:noWrap w:val="0"/>
            <w:vAlign w:val="top"/>
          </w:tcPr>
          <w:p w14:paraId="1534B8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r>
      <w:tr w14:paraId="1E788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75B8C127">
            <w:pPr>
              <w:pStyle w:val="333"/>
              <w:keepNext w:val="0"/>
              <w:keepLines w:val="0"/>
              <w:pageBreakBefore w:val="0"/>
              <w:widowControl w:val="0"/>
              <w:kinsoku/>
              <w:wordWrap/>
              <w:overflowPunct/>
              <w:topLinePunct w:val="0"/>
              <w:autoSpaceDE/>
              <w:autoSpaceDN/>
              <w:bidi w:val="0"/>
              <w:adjustRightInd/>
              <w:snapToGrid/>
              <w:spacing w:before="210" w:line="400" w:lineRule="exact"/>
              <w:ind w:left="314"/>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w:t>
            </w:r>
          </w:p>
        </w:tc>
        <w:tc>
          <w:tcPr>
            <w:tcW w:w="2281" w:type="dxa"/>
            <w:gridSpan w:val="2"/>
            <w:noWrap w:val="0"/>
            <w:vAlign w:val="top"/>
          </w:tcPr>
          <w:p w14:paraId="79205078">
            <w:pPr>
              <w:pStyle w:val="333"/>
              <w:keepNext w:val="0"/>
              <w:keepLines w:val="0"/>
              <w:pageBreakBefore w:val="0"/>
              <w:widowControl w:val="0"/>
              <w:kinsoku/>
              <w:wordWrap/>
              <w:overflowPunct/>
              <w:topLinePunct w:val="0"/>
              <w:autoSpaceDE/>
              <w:autoSpaceDN/>
              <w:bidi w:val="0"/>
              <w:adjustRightInd/>
              <w:snapToGrid/>
              <w:spacing w:before="176" w:line="400" w:lineRule="exact"/>
              <w:ind w:left="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主要技术人员</w:t>
            </w:r>
          </w:p>
        </w:tc>
        <w:tc>
          <w:tcPr>
            <w:tcW w:w="946" w:type="dxa"/>
            <w:noWrap w:val="0"/>
            <w:vAlign w:val="top"/>
          </w:tcPr>
          <w:p w14:paraId="7C6F22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990" w:type="dxa"/>
            <w:gridSpan w:val="2"/>
            <w:noWrap w:val="0"/>
            <w:vAlign w:val="top"/>
          </w:tcPr>
          <w:p w14:paraId="4FA0989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499" w:type="dxa"/>
            <w:noWrap w:val="0"/>
            <w:vAlign w:val="top"/>
          </w:tcPr>
          <w:p w14:paraId="6841E1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489" w:type="dxa"/>
            <w:noWrap w:val="0"/>
            <w:vAlign w:val="top"/>
          </w:tcPr>
          <w:p w14:paraId="6500D7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r>
      <w:tr w14:paraId="289D3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2FCBA811">
            <w:pPr>
              <w:pStyle w:val="333"/>
              <w:keepNext w:val="0"/>
              <w:keepLines w:val="0"/>
              <w:pageBreakBefore w:val="0"/>
              <w:widowControl w:val="0"/>
              <w:kinsoku/>
              <w:wordWrap/>
              <w:overflowPunct/>
              <w:topLinePunct w:val="0"/>
              <w:autoSpaceDE/>
              <w:autoSpaceDN/>
              <w:bidi w:val="0"/>
              <w:adjustRightInd/>
              <w:snapToGrid/>
              <w:spacing w:before="215" w:line="400" w:lineRule="exact"/>
              <w:ind w:left="325"/>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p>
        </w:tc>
        <w:tc>
          <w:tcPr>
            <w:tcW w:w="2281" w:type="dxa"/>
            <w:gridSpan w:val="2"/>
            <w:noWrap w:val="0"/>
            <w:vAlign w:val="top"/>
          </w:tcPr>
          <w:p w14:paraId="4F60588D">
            <w:pPr>
              <w:pStyle w:val="333"/>
              <w:keepNext w:val="0"/>
              <w:keepLines w:val="0"/>
              <w:pageBreakBefore w:val="0"/>
              <w:widowControl w:val="0"/>
              <w:kinsoku/>
              <w:wordWrap/>
              <w:overflowPunct/>
              <w:topLinePunct w:val="0"/>
              <w:autoSpaceDE/>
              <w:autoSpaceDN/>
              <w:bidi w:val="0"/>
              <w:adjustRightInd/>
              <w:snapToGrid/>
              <w:spacing w:before="178" w:line="400" w:lineRule="exact"/>
              <w:ind w:left="189"/>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投标文件编制人员</w:t>
            </w:r>
          </w:p>
        </w:tc>
        <w:tc>
          <w:tcPr>
            <w:tcW w:w="946" w:type="dxa"/>
            <w:noWrap w:val="0"/>
            <w:vAlign w:val="top"/>
          </w:tcPr>
          <w:p w14:paraId="3E335BA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990" w:type="dxa"/>
            <w:gridSpan w:val="2"/>
            <w:noWrap w:val="0"/>
            <w:vAlign w:val="top"/>
          </w:tcPr>
          <w:p w14:paraId="561B1E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499" w:type="dxa"/>
            <w:noWrap w:val="0"/>
            <w:vAlign w:val="top"/>
          </w:tcPr>
          <w:p w14:paraId="126349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1489" w:type="dxa"/>
            <w:noWrap w:val="0"/>
            <w:vAlign w:val="top"/>
          </w:tcPr>
          <w:p w14:paraId="5019B6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r>
      <w:tr w14:paraId="7E0CA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7ADEE310">
            <w:pPr>
              <w:pStyle w:val="333"/>
              <w:keepNext w:val="0"/>
              <w:keepLines w:val="0"/>
              <w:pageBreakBefore w:val="0"/>
              <w:widowControl w:val="0"/>
              <w:kinsoku/>
              <w:wordWrap/>
              <w:overflowPunct/>
              <w:topLinePunct w:val="0"/>
              <w:autoSpaceDE/>
              <w:autoSpaceDN/>
              <w:bidi w:val="0"/>
              <w:adjustRightInd/>
              <w:snapToGrid/>
              <w:spacing w:before="178" w:line="400" w:lineRule="exact"/>
              <w:ind w:left="1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pacing w:val="-1"/>
                <w:sz w:val="22"/>
                <w:szCs w:val="22"/>
              </w:rPr>
              <w:t>说明：同一职务有多人担任（如主要技术人员</w:t>
            </w:r>
            <w:r>
              <w:rPr>
                <w:rFonts w:hint="eastAsia" w:asciiTheme="minorEastAsia" w:hAnsiTheme="minorEastAsia" w:eastAsiaTheme="minorEastAsia" w:cstheme="minorEastAsia"/>
                <w:b/>
                <w:bCs/>
                <w:spacing w:val="-42"/>
                <w:w w:val="95"/>
                <w:sz w:val="22"/>
                <w:szCs w:val="22"/>
              </w:rPr>
              <w:t>），</w:t>
            </w:r>
            <w:r>
              <w:rPr>
                <w:rFonts w:hint="eastAsia" w:asciiTheme="minorEastAsia" w:hAnsiTheme="minorEastAsia" w:eastAsiaTheme="minorEastAsia" w:cstheme="minorEastAsia"/>
                <w:b/>
                <w:bCs/>
                <w:spacing w:val="-1"/>
                <w:sz w:val="22"/>
                <w:szCs w:val="22"/>
              </w:rPr>
              <w:t>应分行填写。</w:t>
            </w:r>
          </w:p>
        </w:tc>
      </w:tr>
      <w:tr w14:paraId="60533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3420FABB">
            <w:pPr>
              <w:pStyle w:val="333"/>
              <w:keepNext w:val="0"/>
              <w:keepLines w:val="0"/>
              <w:pageBreakBefore w:val="0"/>
              <w:widowControl w:val="0"/>
              <w:kinsoku/>
              <w:wordWrap/>
              <w:overflowPunct/>
              <w:topLinePunct w:val="0"/>
              <w:autoSpaceDE/>
              <w:autoSpaceDN/>
              <w:bidi w:val="0"/>
              <w:adjustRightInd/>
              <w:snapToGrid/>
              <w:spacing w:before="177" w:line="400" w:lineRule="exact"/>
              <w:ind w:left="2683"/>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rPr>
              <w:t>投标（响应）供应商关联关系情况</w:t>
            </w:r>
          </w:p>
        </w:tc>
      </w:tr>
      <w:tr w14:paraId="236FF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16A5151A">
            <w:pPr>
              <w:pStyle w:val="333"/>
              <w:keepNext w:val="0"/>
              <w:keepLines w:val="0"/>
              <w:pageBreakBefore w:val="0"/>
              <w:widowControl w:val="0"/>
              <w:kinsoku/>
              <w:wordWrap/>
              <w:overflowPunct/>
              <w:topLinePunct w:val="0"/>
              <w:autoSpaceDE/>
              <w:autoSpaceDN/>
              <w:bidi w:val="0"/>
              <w:adjustRightInd/>
              <w:snapToGrid/>
              <w:spacing w:before="178" w:line="400" w:lineRule="exact"/>
              <w:ind w:left="145"/>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序号</w:t>
            </w:r>
          </w:p>
        </w:tc>
        <w:tc>
          <w:tcPr>
            <w:tcW w:w="2281" w:type="dxa"/>
            <w:gridSpan w:val="2"/>
            <w:noWrap w:val="0"/>
            <w:vAlign w:val="top"/>
          </w:tcPr>
          <w:p w14:paraId="36216632">
            <w:pPr>
              <w:pStyle w:val="333"/>
              <w:keepNext w:val="0"/>
              <w:keepLines w:val="0"/>
              <w:pageBreakBefore w:val="0"/>
              <w:widowControl w:val="0"/>
              <w:kinsoku/>
              <w:wordWrap/>
              <w:overflowPunct/>
              <w:topLinePunct w:val="0"/>
              <w:autoSpaceDE/>
              <w:autoSpaceDN/>
              <w:bidi w:val="0"/>
              <w:adjustRightInd/>
              <w:snapToGrid/>
              <w:spacing w:before="177" w:line="400" w:lineRule="exact"/>
              <w:ind w:left="436"/>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
                <w:sz w:val="22"/>
                <w:szCs w:val="22"/>
              </w:rPr>
              <w:t>关联关系类型</w:t>
            </w:r>
          </w:p>
        </w:tc>
        <w:tc>
          <w:tcPr>
            <w:tcW w:w="1737" w:type="dxa"/>
            <w:gridSpan w:val="2"/>
            <w:noWrap w:val="0"/>
            <w:vAlign w:val="top"/>
          </w:tcPr>
          <w:p w14:paraId="2CBC9BE4">
            <w:pPr>
              <w:pStyle w:val="333"/>
              <w:keepNext w:val="0"/>
              <w:keepLines w:val="0"/>
              <w:pageBreakBefore w:val="0"/>
              <w:widowControl w:val="0"/>
              <w:kinsoku/>
              <w:wordWrap/>
              <w:overflowPunct/>
              <w:topLinePunct w:val="0"/>
              <w:autoSpaceDE/>
              <w:autoSpaceDN/>
              <w:bidi w:val="0"/>
              <w:adjustRightInd/>
              <w:snapToGrid/>
              <w:spacing w:before="177" w:line="400" w:lineRule="exact"/>
              <w:ind w:left="166"/>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
                <w:sz w:val="22"/>
                <w:szCs w:val="22"/>
              </w:rPr>
              <w:t>关联主体名称</w:t>
            </w:r>
          </w:p>
        </w:tc>
        <w:tc>
          <w:tcPr>
            <w:tcW w:w="4187" w:type="dxa"/>
            <w:gridSpan w:val="3"/>
            <w:noWrap w:val="0"/>
            <w:vAlign w:val="top"/>
          </w:tcPr>
          <w:p w14:paraId="3B2A2E47">
            <w:pPr>
              <w:pStyle w:val="333"/>
              <w:keepNext w:val="0"/>
              <w:keepLines w:val="0"/>
              <w:pageBreakBefore w:val="0"/>
              <w:widowControl w:val="0"/>
              <w:kinsoku/>
              <w:wordWrap/>
              <w:overflowPunct/>
              <w:topLinePunct w:val="0"/>
              <w:autoSpaceDE/>
              <w:autoSpaceDN/>
              <w:bidi w:val="0"/>
              <w:adjustRightInd/>
              <w:snapToGrid/>
              <w:spacing w:before="177" w:line="400" w:lineRule="exact"/>
              <w:ind w:left="1862"/>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备注</w:t>
            </w:r>
          </w:p>
        </w:tc>
      </w:tr>
      <w:tr w14:paraId="0FF9A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noWrap w:val="0"/>
            <w:vAlign w:val="top"/>
          </w:tcPr>
          <w:p w14:paraId="2E9E92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p w14:paraId="5884F63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p w14:paraId="3E9671AF">
            <w:pPr>
              <w:pStyle w:val="333"/>
              <w:keepNext w:val="0"/>
              <w:keepLines w:val="0"/>
              <w:pageBreakBefore w:val="0"/>
              <w:widowControl w:val="0"/>
              <w:kinsoku/>
              <w:wordWrap/>
              <w:overflowPunct/>
              <w:topLinePunct w:val="0"/>
              <w:autoSpaceDE/>
              <w:autoSpaceDN/>
              <w:bidi w:val="0"/>
              <w:adjustRightInd/>
              <w:snapToGrid/>
              <w:spacing w:before="103" w:line="400" w:lineRule="exact"/>
              <w:ind w:left="321"/>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2281" w:type="dxa"/>
            <w:gridSpan w:val="2"/>
            <w:noWrap w:val="0"/>
            <w:vAlign w:val="top"/>
          </w:tcPr>
          <w:p w14:paraId="70FC98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p w14:paraId="333E1FA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p w14:paraId="3E8D52B5">
            <w:pPr>
              <w:pStyle w:val="333"/>
              <w:keepNext w:val="0"/>
              <w:keepLines w:val="0"/>
              <w:pageBreakBefore w:val="0"/>
              <w:widowControl w:val="0"/>
              <w:kinsoku/>
              <w:wordWrap/>
              <w:overflowPunct/>
              <w:topLinePunct w:val="0"/>
              <w:autoSpaceDE/>
              <w:autoSpaceDN/>
              <w:bidi w:val="0"/>
              <w:adjustRightInd/>
              <w:snapToGrid/>
              <w:spacing w:before="103" w:line="400" w:lineRule="exact"/>
              <w:ind w:left="671"/>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
                <w:sz w:val="22"/>
                <w:szCs w:val="22"/>
              </w:rPr>
              <w:t>控股股东</w:t>
            </w:r>
          </w:p>
        </w:tc>
        <w:tc>
          <w:tcPr>
            <w:tcW w:w="1737" w:type="dxa"/>
            <w:gridSpan w:val="2"/>
            <w:noWrap w:val="0"/>
            <w:vAlign w:val="top"/>
          </w:tcPr>
          <w:p w14:paraId="2ADC8C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4187" w:type="dxa"/>
            <w:gridSpan w:val="3"/>
            <w:noWrap w:val="0"/>
            <w:vAlign w:val="top"/>
          </w:tcPr>
          <w:p w14:paraId="323368BE">
            <w:pPr>
              <w:pStyle w:val="333"/>
              <w:keepNext w:val="0"/>
              <w:keepLines w:val="0"/>
              <w:pageBreakBefore w:val="0"/>
              <w:widowControl w:val="0"/>
              <w:kinsoku/>
              <w:wordWrap/>
              <w:overflowPunct/>
              <w:topLinePunct w:val="0"/>
              <w:autoSpaceDE/>
              <w:autoSpaceDN/>
              <w:bidi w:val="0"/>
              <w:adjustRightInd/>
              <w:snapToGrid/>
              <w:spacing w:before="27" w:line="400" w:lineRule="exact"/>
              <w:ind w:left="98" w:right="116" w:firstLine="19"/>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pacing w:val="-1"/>
                <w:sz w:val="22"/>
                <w:szCs w:val="22"/>
              </w:rPr>
              <w:t>指出资额（或持有股份）占投标（响应）供应商资</w:t>
            </w:r>
            <w:r>
              <w:rPr>
                <w:rFonts w:hint="eastAsia" w:asciiTheme="minorEastAsia" w:hAnsiTheme="minorEastAsia" w:eastAsiaTheme="minorEastAsia" w:cstheme="minorEastAsia"/>
                <w:spacing w:val="-8"/>
                <w:sz w:val="22"/>
                <w:szCs w:val="22"/>
              </w:rPr>
              <w:t>本总额（或股本总额）50%以上的股东，以及出资额</w:t>
            </w:r>
            <w:r>
              <w:rPr>
                <w:rFonts w:hint="eastAsia" w:asciiTheme="minorEastAsia" w:hAnsiTheme="minorEastAsia" w:eastAsiaTheme="minorEastAsia" w:cstheme="minorEastAsia"/>
                <w:spacing w:val="-5"/>
                <w:sz w:val="22"/>
                <w:szCs w:val="22"/>
              </w:rPr>
              <w:t>（或持有股份）的比例虽然不足50%，但依</w:t>
            </w:r>
            <w:r>
              <w:rPr>
                <w:rFonts w:hint="eastAsia" w:asciiTheme="minorEastAsia" w:hAnsiTheme="minorEastAsia" w:eastAsiaTheme="minorEastAsia" w:cstheme="minorEastAsia"/>
                <w:spacing w:val="-6"/>
                <w:sz w:val="22"/>
                <w:szCs w:val="22"/>
              </w:rPr>
              <w:t>其出资</w:t>
            </w:r>
            <w:r>
              <w:rPr>
                <w:rFonts w:hint="eastAsia" w:asciiTheme="minorEastAsia" w:hAnsiTheme="minorEastAsia" w:eastAsiaTheme="minorEastAsia" w:cstheme="minorEastAsia"/>
                <w:spacing w:val="-9"/>
                <w:sz w:val="22"/>
                <w:szCs w:val="22"/>
              </w:rPr>
              <w:t>额（或持有股份）所享有的表决权已足以对投标（响</w:t>
            </w:r>
            <w:r>
              <w:rPr>
                <w:rFonts w:hint="eastAsia" w:asciiTheme="minorEastAsia" w:hAnsiTheme="minorEastAsia" w:eastAsiaTheme="minorEastAsia" w:cstheme="minorEastAsia"/>
                <w:spacing w:val="18"/>
                <w:w w:val="101"/>
                <w:sz w:val="22"/>
                <w:szCs w:val="22"/>
              </w:rPr>
              <w:t xml:space="preserve"> </w:t>
            </w:r>
            <w:r>
              <w:rPr>
                <w:rFonts w:hint="eastAsia" w:asciiTheme="minorEastAsia" w:hAnsiTheme="minorEastAsia" w:eastAsiaTheme="minorEastAsia" w:cstheme="minorEastAsia"/>
                <w:sz w:val="22"/>
                <w:szCs w:val="22"/>
              </w:rPr>
              <w:t>应）供应商股东会（或股东大会）的决议产生重要</w:t>
            </w:r>
            <w:r>
              <w:rPr>
                <w:rFonts w:hint="eastAsia" w:asciiTheme="minorEastAsia" w:hAnsiTheme="minorEastAsia" w:eastAsiaTheme="minorEastAsia" w:cstheme="minorEastAsia"/>
                <w:spacing w:val="-2"/>
                <w:sz w:val="22"/>
                <w:szCs w:val="22"/>
              </w:rPr>
              <w:t>影响的股东。</w:t>
            </w:r>
          </w:p>
        </w:tc>
      </w:tr>
      <w:tr w14:paraId="40478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3E24FB7C">
            <w:pPr>
              <w:pStyle w:val="333"/>
              <w:keepNext w:val="0"/>
              <w:keepLines w:val="0"/>
              <w:pageBreakBefore w:val="0"/>
              <w:widowControl w:val="0"/>
              <w:kinsoku/>
              <w:wordWrap/>
              <w:overflowPunct/>
              <w:topLinePunct w:val="0"/>
              <w:autoSpaceDE/>
              <w:autoSpaceDN/>
              <w:bidi w:val="0"/>
              <w:adjustRightInd/>
              <w:snapToGrid/>
              <w:spacing w:before="251" w:line="400" w:lineRule="exact"/>
              <w:ind w:left="322"/>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c>
          <w:tcPr>
            <w:tcW w:w="2281" w:type="dxa"/>
            <w:gridSpan w:val="2"/>
            <w:noWrap w:val="0"/>
            <w:vAlign w:val="top"/>
          </w:tcPr>
          <w:p w14:paraId="5482A14B">
            <w:pPr>
              <w:pStyle w:val="333"/>
              <w:keepNext w:val="0"/>
              <w:keepLines w:val="0"/>
              <w:pageBreakBefore w:val="0"/>
              <w:widowControl w:val="0"/>
              <w:kinsoku/>
              <w:wordWrap/>
              <w:overflowPunct/>
              <w:topLinePunct w:val="0"/>
              <w:autoSpaceDE/>
              <w:autoSpaceDN/>
              <w:bidi w:val="0"/>
              <w:adjustRightInd/>
              <w:snapToGrid/>
              <w:spacing w:before="217" w:line="400" w:lineRule="exact"/>
              <w:ind w:left="678"/>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管理关系</w:t>
            </w:r>
          </w:p>
        </w:tc>
        <w:tc>
          <w:tcPr>
            <w:tcW w:w="1737" w:type="dxa"/>
            <w:gridSpan w:val="2"/>
            <w:noWrap w:val="0"/>
            <w:vAlign w:val="top"/>
          </w:tcPr>
          <w:p w14:paraId="3F6FFAD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0"/>
                <w:szCs w:val="22"/>
              </w:rPr>
            </w:pPr>
          </w:p>
        </w:tc>
        <w:tc>
          <w:tcPr>
            <w:tcW w:w="4187" w:type="dxa"/>
            <w:gridSpan w:val="3"/>
            <w:noWrap w:val="0"/>
            <w:vAlign w:val="top"/>
          </w:tcPr>
          <w:p w14:paraId="0789D6D6">
            <w:pPr>
              <w:pStyle w:val="333"/>
              <w:keepNext w:val="0"/>
              <w:keepLines w:val="0"/>
              <w:pageBreakBefore w:val="0"/>
              <w:widowControl w:val="0"/>
              <w:kinsoku/>
              <w:wordWrap/>
              <w:overflowPunct/>
              <w:topLinePunct w:val="0"/>
              <w:autoSpaceDE/>
              <w:autoSpaceDN/>
              <w:bidi w:val="0"/>
              <w:adjustRightInd/>
              <w:snapToGrid/>
              <w:spacing w:before="43" w:line="400" w:lineRule="exact"/>
              <w:ind w:left="120" w:right="24"/>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8"/>
                <w:sz w:val="22"/>
                <w:szCs w:val="22"/>
              </w:rPr>
              <w:t>指对投标（响应）供应商不具有出资持</w:t>
            </w:r>
            <w:r>
              <w:rPr>
                <w:rFonts w:hint="eastAsia" w:asciiTheme="minorEastAsia" w:hAnsiTheme="minorEastAsia" w:eastAsiaTheme="minorEastAsia" w:cstheme="minorEastAsia"/>
                <w:spacing w:val="4"/>
                <w:sz w:val="22"/>
                <w:szCs w:val="22"/>
              </w:rPr>
              <w:t xml:space="preserve">  </w:t>
            </w:r>
            <w:r>
              <w:rPr>
                <w:rFonts w:hint="eastAsia" w:asciiTheme="minorEastAsia" w:hAnsiTheme="minorEastAsia" w:eastAsiaTheme="minorEastAsia" w:cstheme="minorEastAsia"/>
                <w:spacing w:val="-3"/>
                <w:sz w:val="22"/>
                <w:szCs w:val="22"/>
              </w:rPr>
              <w:t>股关系，但对其存在管理关系的主体。</w:t>
            </w:r>
          </w:p>
        </w:tc>
      </w:tr>
      <w:tr w14:paraId="187E8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jc w:val="center"/>
        </w:trPr>
        <w:tc>
          <w:tcPr>
            <w:tcW w:w="8945" w:type="dxa"/>
            <w:gridSpan w:val="8"/>
            <w:noWrap w:val="0"/>
            <w:vAlign w:val="top"/>
          </w:tcPr>
          <w:p w14:paraId="5A55C65E">
            <w:pPr>
              <w:pStyle w:val="333"/>
              <w:keepNext w:val="0"/>
              <w:keepLines w:val="0"/>
              <w:pageBreakBefore w:val="0"/>
              <w:widowControl w:val="0"/>
              <w:kinsoku/>
              <w:wordWrap/>
              <w:overflowPunct/>
              <w:topLinePunct w:val="0"/>
              <w:autoSpaceDE/>
              <w:autoSpaceDN/>
              <w:bidi w:val="0"/>
              <w:adjustRightInd/>
              <w:snapToGrid/>
              <w:spacing w:before="42" w:line="400" w:lineRule="exact"/>
              <w:ind w:left="1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pacing w:val="-1"/>
                <w:sz w:val="22"/>
                <w:szCs w:val="22"/>
              </w:rPr>
              <w:t>说明：同一关联关系类型有多个主体的，应分行填写。</w:t>
            </w:r>
          </w:p>
        </w:tc>
      </w:tr>
    </w:tbl>
    <w:p w14:paraId="0CF17295">
      <w:pPr>
        <w:spacing w:before="120" w:after="120" w:line="360" w:lineRule="auto"/>
        <w:jc w:val="both"/>
        <w:rPr>
          <w:rFonts w:asciiTheme="minorEastAsia" w:hAnsiTheme="minorEastAsia" w:eastAsiaTheme="minorEastAsia"/>
          <w:szCs w:val="21"/>
        </w:rPr>
      </w:pPr>
      <w:r>
        <w:rPr>
          <w:rFonts w:hint="eastAsia" w:asciiTheme="minorEastAsia" w:hAnsiTheme="minorEastAsia" w:eastAsiaTheme="minorEastAsia"/>
          <w:szCs w:val="21"/>
        </w:rPr>
        <w:br w:type="page"/>
      </w:r>
    </w:p>
    <w:bookmarkEnd w:id="215"/>
    <w:p w14:paraId="25D65D1D">
      <w:pPr>
        <w:pStyle w:val="4"/>
        <w:jc w:val="center"/>
        <w:rPr>
          <w:rFonts w:hint="eastAsia"/>
          <w:snapToGrid w:val="0"/>
          <w:kern w:val="0"/>
          <w:sz w:val="21"/>
          <w:szCs w:val="21"/>
        </w:rPr>
      </w:pPr>
      <w:bookmarkStart w:id="264" w:name="_Toc480447834"/>
    </w:p>
    <w:p w14:paraId="2792B8E1">
      <w:pPr>
        <w:pStyle w:val="4"/>
        <w:jc w:val="center"/>
        <w:rPr>
          <w:rFonts w:hint="eastAsia" w:eastAsia="宋体"/>
          <w:snapToGrid w:val="0"/>
          <w:kern w:val="0"/>
          <w:sz w:val="21"/>
          <w:szCs w:val="21"/>
          <w:lang w:eastAsia="zh-CN"/>
        </w:rPr>
      </w:pPr>
      <w:bookmarkStart w:id="265" w:name="_Toc144770424"/>
      <w:r>
        <w:rPr>
          <w:rFonts w:hint="eastAsia"/>
          <w:snapToGrid w:val="0"/>
          <w:kern w:val="0"/>
          <w:sz w:val="21"/>
          <w:szCs w:val="21"/>
          <w:lang w:val="en-US" w:eastAsia="zh-CN"/>
        </w:rPr>
        <w:t>11、</w:t>
      </w:r>
      <w:r>
        <w:rPr>
          <w:rFonts w:hint="eastAsia"/>
          <w:snapToGrid w:val="0"/>
          <w:kern w:val="0"/>
          <w:sz w:val="21"/>
          <w:szCs w:val="21"/>
          <w:lang w:eastAsia="zh-CN"/>
        </w:rPr>
        <w:t>资格要求证明文件及截图</w:t>
      </w:r>
      <w:bookmarkEnd w:id="265"/>
    </w:p>
    <w:p w14:paraId="10E05296">
      <w:pPr>
        <w:pStyle w:val="4"/>
        <w:jc w:val="center"/>
        <w:rPr>
          <w:rFonts w:hint="eastAsia"/>
          <w:sz w:val="21"/>
          <w:szCs w:val="21"/>
        </w:rPr>
      </w:pPr>
      <w:bookmarkStart w:id="266" w:name="_Toc389178663"/>
      <w:r>
        <w:rPr>
          <w:rFonts w:hint="eastAsia"/>
          <w:snapToGrid w:val="0"/>
          <w:kern w:val="0"/>
          <w:sz w:val="21"/>
          <w:szCs w:val="21"/>
        </w:rPr>
        <w:t>1</w:t>
      </w:r>
      <w:r>
        <w:rPr>
          <w:rFonts w:hint="eastAsia"/>
          <w:snapToGrid w:val="0"/>
          <w:kern w:val="0"/>
          <w:sz w:val="21"/>
          <w:szCs w:val="21"/>
          <w:lang w:val="en-US" w:eastAsia="zh-CN"/>
        </w:rPr>
        <w:t>2</w:t>
      </w:r>
      <w:r>
        <w:rPr>
          <w:rFonts w:hint="eastAsia"/>
          <w:snapToGrid w:val="0"/>
          <w:kern w:val="0"/>
          <w:sz w:val="21"/>
          <w:szCs w:val="21"/>
        </w:rPr>
        <w:t>、</w:t>
      </w:r>
      <w:r>
        <w:rPr>
          <w:rFonts w:hint="eastAsia"/>
          <w:sz w:val="21"/>
          <w:szCs w:val="21"/>
        </w:rPr>
        <w:t>招标采购实施方案（包括招标代理服务的总体实施、采购文件编制、供应商质疑处理、开评标等方面的方案）及项目重点难点分析、应对措施及相关的合理化建议</w:t>
      </w:r>
      <w:bookmarkEnd w:id="266"/>
    </w:p>
    <w:p w14:paraId="7D56DC75">
      <w:pPr>
        <w:pStyle w:val="4"/>
        <w:jc w:val="center"/>
        <w:rPr>
          <w:rFonts w:hint="eastAsia"/>
          <w:sz w:val="21"/>
          <w:szCs w:val="21"/>
        </w:rPr>
      </w:pPr>
      <w:bookmarkStart w:id="267" w:name="_Toc429751795"/>
      <w:r>
        <w:rPr>
          <w:rFonts w:hint="eastAsia"/>
          <w:sz w:val="21"/>
          <w:szCs w:val="21"/>
          <w:lang w:val="en-US" w:eastAsia="zh-CN"/>
        </w:rPr>
        <w:t>13</w:t>
      </w:r>
      <w:r>
        <w:rPr>
          <w:rFonts w:hint="eastAsia"/>
          <w:sz w:val="21"/>
          <w:szCs w:val="21"/>
        </w:rPr>
        <w:t>、质量保障措施及方案（内部质量管控措施）</w:t>
      </w:r>
      <w:bookmarkEnd w:id="267"/>
    </w:p>
    <w:p w14:paraId="0B7D432B">
      <w:pPr>
        <w:pStyle w:val="4"/>
        <w:jc w:val="center"/>
        <w:rPr>
          <w:rFonts w:hint="eastAsia"/>
          <w:sz w:val="21"/>
          <w:szCs w:val="21"/>
        </w:rPr>
      </w:pPr>
      <w:bookmarkStart w:id="268" w:name="_Toc2050122872"/>
      <w:r>
        <w:rPr>
          <w:rFonts w:hint="eastAsia"/>
          <w:sz w:val="21"/>
          <w:szCs w:val="21"/>
          <w:lang w:val="en-US" w:eastAsia="zh-CN"/>
        </w:rPr>
        <w:t>14</w:t>
      </w:r>
      <w:r>
        <w:rPr>
          <w:rFonts w:hint="eastAsia"/>
          <w:sz w:val="21"/>
          <w:szCs w:val="21"/>
        </w:rPr>
        <w:t>、拟安排的项目负责人情况及项目团队成员情况</w:t>
      </w:r>
      <w:bookmarkEnd w:id="268"/>
    </w:p>
    <w:p w14:paraId="39BD721E">
      <w:pPr>
        <w:pStyle w:val="4"/>
        <w:jc w:val="center"/>
        <w:rPr>
          <w:rFonts w:hint="eastAsia"/>
          <w:sz w:val="21"/>
          <w:szCs w:val="21"/>
        </w:rPr>
      </w:pPr>
      <w:bookmarkStart w:id="269" w:name="_Toc365706758"/>
      <w:r>
        <w:rPr>
          <w:rFonts w:hint="eastAsia"/>
          <w:sz w:val="21"/>
          <w:szCs w:val="21"/>
          <w:lang w:val="en-US" w:eastAsia="zh-CN"/>
        </w:rPr>
        <w:t>15</w:t>
      </w:r>
      <w:r>
        <w:rPr>
          <w:rFonts w:hint="eastAsia"/>
          <w:sz w:val="21"/>
          <w:szCs w:val="21"/>
        </w:rPr>
        <w:t>、同类有效业绩情况</w:t>
      </w:r>
      <w:bookmarkEnd w:id="269"/>
    </w:p>
    <w:p w14:paraId="20ED5A92">
      <w:pPr>
        <w:pStyle w:val="4"/>
        <w:jc w:val="center"/>
        <w:rPr>
          <w:rFonts w:hint="eastAsia"/>
          <w:sz w:val="21"/>
          <w:szCs w:val="21"/>
        </w:rPr>
      </w:pPr>
      <w:bookmarkStart w:id="270" w:name="_Toc236024334"/>
      <w:r>
        <w:rPr>
          <w:rFonts w:hint="eastAsia"/>
          <w:sz w:val="21"/>
          <w:szCs w:val="21"/>
          <w:lang w:val="en-US" w:eastAsia="zh-CN"/>
        </w:rPr>
        <w:t>16</w:t>
      </w:r>
      <w:r>
        <w:rPr>
          <w:rFonts w:hint="eastAsia"/>
          <w:sz w:val="21"/>
          <w:szCs w:val="21"/>
        </w:rPr>
        <w:t>、评标场地情况</w:t>
      </w:r>
      <w:bookmarkEnd w:id="270"/>
    </w:p>
    <w:p w14:paraId="6E30A925">
      <w:pPr>
        <w:pStyle w:val="4"/>
        <w:jc w:val="center"/>
        <w:rPr>
          <w:rFonts w:hint="eastAsia" w:eastAsia="宋体"/>
          <w:lang w:eastAsia="zh-CN"/>
        </w:rPr>
      </w:pPr>
      <w:bookmarkStart w:id="271" w:name="_Toc851830017"/>
      <w:r>
        <w:rPr>
          <w:rFonts w:hint="eastAsia"/>
          <w:sz w:val="21"/>
          <w:szCs w:val="21"/>
          <w:lang w:val="en-US" w:eastAsia="zh-CN"/>
        </w:rPr>
        <w:t>17</w:t>
      </w:r>
      <w:r>
        <w:rPr>
          <w:rFonts w:hint="eastAsia"/>
          <w:sz w:val="21"/>
          <w:szCs w:val="21"/>
        </w:rPr>
        <w:t>、</w:t>
      </w:r>
      <w:r>
        <w:rPr>
          <w:rFonts w:hint="eastAsia"/>
          <w:sz w:val="21"/>
          <w:szCs w:val="21"/>
          <w:lang w:eastAsia="zh-CN"/>
        </w:rPr>
        <w:t>商务要求满足情况</w:t>
      </w:r>
      <w:bookmarkEnd w:id="271"/>
    </w:p>
    <w:p w14:paraId="7B164C48">
      <w:pPr>
        <w:pStyle w:val="4"/>
        <w:jc w:val="center"/>
        <w:rPr>
          <w:snapToGrid w:val="0"/>
          <w:kern w:val="0"/>
          <w:sz w:val="21"/>
          <w:szCs w:val="21"/>
        </w:rPr>
      </w:pPr>
      <w:bookmarkStart w:id="272" w:name="_Toc498870992"/>
      <w:r>
        <w:rPr>
          <w:rFonts w:hint="eastAsia"/>
          <w:sz w:val="21"/>
          <w:szCs w:val="21"/>
          <w:lang w:val="en-US" w:eastAsia="zh-CN"/>
        </w:rPr>
        <w:t>18</w:t>
      </w:r>
      <w:r>
        <w:rPr>
          <w:rFonts w:hint="eastAsia"/>
          <w:sz w:val="21"/>
          <w:szCs w:val="21"/>
        </w:rPr>
        <w:t>、招标文件要求的其他内容及投标人认为需要加以说明其他内容</w:t>
      </w:r>
      <w:bookmarkEnd w:id="272"/>
    </w:p>
    <w:p w14:paraId="455626E0"/>
    <w:p w14:paraId="740095E1">
      <w:pPr>
        <w:spacing w:line="360" w:lineRule="auto"/>
        <w:jc w:val="center"/>
        <w:rPr>
          <w:rFonts w:asciiTheme="minorEastAsia" w:hAnsiTheme="minorEastAsia" w:eastAsiaTheme="minorEastAsia"/>
          <w:b/>
          <w:szCs w:val="21"/>
        </w:rPr>
      </w:pPr>
    </w:p>
    <w:p w14:paraId="0E874785">
      <w:pPr>
        <w:spacing w:line="360" w:lineRule="auto"/>
        <w:jc w:val="center"/>
        <w:rPr>
          <w:rFonts w:asciiTheme="minorEastAsia" w:hAnsiTheme="minorEastAsia" w:eastAsiaTheme="minorEastAsia"/>
          <w:b/>
          <w:szCs w:val="21"/>
        </w:rPr>
      </w:pPr>
    </w:p>
    <w:p w14:paraId="4ED199DB">
      <w:pPr>
        <w:spacing w:line="360" w:lineRule="auto"/>
        <w:jc w:val="center"/>
        <w:rPr>
          <w:rFonts w:asciiTheme="minorEastAsia" w:hAnsiTheme="minorEastAsia" w:eastAsiaTheme="minorEastAsia"/>
          <w:b/>
          <w:szCs w:val="21"/>
        </w:rPr>
      </w:pPr>
    </w:p>
    <w:p w14:paraId="7EEA692C">
      <w:pPr>
        <w:spacing w:line="360" w:lineRule="auto"/>
        <w:jc w:val="center"/>
        <w:rPr>
          <w:rFonts w:asciiTheme="minorEastAsia" w:hAnsiTheme="minorEastAsia" w:eastAsiaTheme="minorEastAsia"/>
          <w:b/>
          <w:szCs w:val="21"/>
        </w:rPr>
      </w:pPr>
    </w:p>
    <w:p w14:paraId="29498D47">
      <w:pPr>
        <w:spacing w:line="360" w:lineRule="auto"/>
        <w:rPr>
          <w:rFonts w:asciiTheme="minorEastAsia" w:hAnsiTheme="minorEastAsia" w:eastAsiaTheme="minorEastAsia"/>
          <w:b/>
          <w:szCs w:val="21"/>
        </w:rPr>
      </w:pPr>
    </w:p>
    <w:bookmarkEnd w:id="264"/>
    <w:p w14:paraId="01D0A715">
      <w:pPr>
        <w:spacing w:line="360" w:lineRule="auto"/>
        <w:rPr>
          <w:rFonts w:asciiTheme="minorEastAsia" w:hAnsiTheme="minorEastAsia" w:eastAsiaTheme="minorEastAsia"/>
          <w:szCs w:val="21"/>
        </w:rPr>
      </w:pPr>
    </w:p>
    <w:p w14:paraId="39F2F0A9">
      <w:pPr>
        <w:pStyle w:val="2"/>
        <w:rPr>
          <w:rFonts w:asciiTheme="minorEastAsia" w:hAnsiTheme="minorEastAsia" w:eastAsiaTheme="minorEastAsia"/>
          <w:szCs w:val="21"/>
        </w:rPr>
      </w:pPr>
    </w:p>
    <w:p w14:paraId="1251C275">
      <w:pPr>
        <w:rPr>
          <w:rFonts w:asciiTheme="minorEastAsia" w:hAnsiTheme="minorEastAsia" w:eastAsiaTheme="minorEastAsia"/>
          <w:szCs w:val="21"/>
        </w:rPr>
      </w:pPr>
    </w:p>
    <w:p w14:paraId="5C8935D6">
      <w:pPr>
        <w:pStyle w:val="2"/>
        <w:rPr>
          <w:rFonts w:asciiTheme="minorEastAsia" w:hAnsiTheme="minorEastAsia" w:eastAsiaTheme="minorEastAsia"/>
          <w:szCs w:val="21"/>
        </w:rPr>
      </w:pPr>
    </w:p>
    <w:p w14:paraId="5B9287B9">
      <w:pPr>
        <w:rPr>
          <w:rFonts w:asciiTheme="minorEastAsia" w:hAnsiTheme="minorEastAsia" w:eastAsiaTheme="minorEastAsia"/>
          <w:szCs w:val="21"/>
        </w:rPr>
      </w:pPr>
    </w:p>
    <w:p w14:paraId="2DD2C515">
      <w:pPr>
        <w:pStyle w:val="2"/>
        <w:rPr>
          <w:rFonts w:asciiTheme="minorEastAsia" w:hAnsiTheme="minorEastAsia" w:eastAsiaTheme="minorEastAsia"/>
          <w:szCs w:val="21"/>
        </w:rPr>
      </w:pPr>
    </w:p>
    <w:p w14:paraId="03315DD3">
      <w:pPr>
        <w:pStyle w:val="2"/>
        <w:jc w:val="both"/>
        <w:rPr>
          <w:sz w:val="20"/>
          <w:szCs w:val="22"/>
        </w:rPr>
      </w:pPr>
    </w:p>
    <w:sectPr>
      <w:headerReference r:id="rId4" w:type="default"/>
      <w:footerReference r:id="rId5" w:type="default"/>
      <w:pgSz w:w="11906" w:h="16838"/>
      <w:pgMar w:top="1440" w:right="1080" w:bottom="1440" w:left="1080"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Noto Serif SC"/>
    <w:panose1 w:val="00000000000000000000"/>
    <w:charset w:val="00"/>
    <w:family w:val="roman"/>
    <w:pitch w:val="default"/>
    <w:sig w:usb0="00000000" w:usb1="00000000" w:usb2="00000000" w:usb3="00000000" w:csb0="00040001" w:csb1="00000000"/>
  </w:font>
  <w:font w:name="方正公文小标宋">
    <w:altName w:val="宋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幼圆">
    <w:panose1 w:val="02010509060101010101"/>
    <w:charset w:val="86"/>
    <w:family w:val="modern"/>
    <w:pitch w:val="default"/>
    <w:sig w:usb0="00000001" w:usb1="080E0000" w:usb2="00000000" w:usb3="00000000" w:csb0="00040000" w:csb1="00000000"/>
  </w:font>
  <w:font w:name="文鼎CS楷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文鼎CS中宋">
    <w:altName w:val="宋体"/>
    <w:panose1 w:val="00000000000000000000"/>
    <w:charset w:val="86"/>
    <w:family w:val="auto"/>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文鼎粗黑">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文鼎CS中黑">
    <w:altName w:val="黑体"/>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文鼎CS大隶书">
    <w:altName w:val="宋体"/>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BAD94">
    <w:pPr>
      <w:pStyle w:val="3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42</w:t>
    </w:r>
    <w:r>
      <w:rPr>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7B32C">
    <w:pPr>
      <w:pStyle w:val="30"/>
      <w:framePr w:wrap="around" w:vAnchor="text" w:hAnchor="margin" w:xAlign="center" w:y="1"/>
      <w:rPr>
        <w:rStyle w:val="52"/>
      </w:rPr>
    </w:pPr>
    <w:r>
      <w:rPr>
        <w:rStyle w:val="52"/>
      </w:rPr>
      <w:fldChar w:fldCharType="begin"/>
    </w:r>
    <w:r>
      <w:rPr>
        <w:rStyle w:val="52"/>
      </w:rPr>
      <w:instrText xml:space="preserve">PAGE  </w:instrText>
    </w:r>
    <w:r>
      <w:rPr>
        <w:rStyle w:val="52"/>
      </w:rPr>
      <w:fldChar w:fldCharType="separate"/>
    </w:r>
    <w:r>
      <w:rPr>
        <w:rStyle w:val="52"/>
      </w:rPr>
      <w:t>31</w:t>
    </w:r>
    <w:r>
      <w:rPr>
        <w:rStyle w:val="52"/>
      </w:rPr>
      <w:fldChar w:fldCharType="end"/>
    </w:r>
  </w:p>
  <w:p w14:paraId="116FEA73">
    <w:pPr>
      <w:pStyle w:val="30"/>
    </w:pPr>
  </w:p>
  <w:p w14:paraId="6EE7FF05"/>
  <w:p w14:paraId="136A916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5CF99"/>
  <w:p w14:paraId="08085F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4FA22D"/>
    <w:multiLevelType w:val="singleLevel"/>
    <w:tmpl w:val="F54FA22D"/>
    <w:lvl w:ilvl="0" w:tentative="0">
      <w:start w:val="1"/>
      <w:numFmt w:val="decimal"/>
      <w:suff w:val="nothing"/>
      <w:lvlText w:val="（%1）"/>
      <w:lvlJc w:val="left"/>
    </w:lvl>
  </w:abstractNum>
  <w:abstractNum w:abstractNumId="1">
    <w:nsid w:val="FE3DA6F7"/>
    <w:multiLevelType w:val="multilevel"/>
    <w:tmpl w:val="FE3DA6F7"/>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014C5F38"/>
    <w:multiLevelType w:val="multilevel"/>
    <w:tmpl w:val="014C5F38"/>
    <w:lvl w:ilvl="0" w:tentative="0">
      <w:start w:val="1"/>
      <w:numFmt w:val="decimal"/>
      <w:lvlText w:val="%1."/>
      <w:lvlJc w:val="left"/>
      <w:pPr>
        <w:ind w:left="425" w:hanging="425"/>
      </w:pPr>
      <w:rPr>
        <w:rFonts w:hint="eastAsia"/>
      </w:rPr>
    </w:lvl>
    <w:lvl w:ilvl="1" w:tentative="0">
      <w:start w:val="1"/>
      <w:numFmt w:val="decimal"/>
      <w:lvlText w:val="24.%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02871B99"/>
    <w:multiLevelType w:val="multilevel"/>
    <w:tmpl w:val="02871B99"/>
    <w:lvl w:ilvl="0" w:tentative="0">
      <w:start w:val="1"/>
      <w:numFmt w:val="decimal"/>
      <w:lvlText w:val="%1."/>
      <w:lvlJc w:val="left"/>
      <w:pPr>
        <w:ind w:left="425" w:hanging="425"/>
      </w:pPr>
      <w:rPr>
        <w:rFonts w:hint="eastAsia"/>
      </w:rPr>
    </w:lvl>
    <w:lvl w:ilvl="1" w:tentative="0">
      <w:start w:val="1"/>
      <w:numFmt w:val="decimal"/>
      <w:lvlText w:val="19.%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048E5A95"/>
    <w:multiLevelType w:val="multilevel"/>
    <w:tmpl w:val="048E5A95"/>
    <w:lvl w:ilvl="0" w:tentative="0">
      <w:start w:val="1"/>
      <w:numFmt w:val="japaneseCounting"/>
      <w:lvlText w:val="%1、"/>
      <w:lvlJc w:val="left"/>
      <w:pPr>
        <w:tabs>
          <w:tab w:val="left" w:pos="764"/>
        </w:tabs>
        <w:ind w:left="764" w:hanging="480"/>
      </w:pPr>
    </w:lvl>
    <w:lvl w:ilvl="1" w:tentative="0">
      <w:start w:val="1"/>
      <w:numFmt w:val="decimal"/>
      <w:lvlText w:val="%2、"/>
      <w:lvlJc w:val="left"/>
      <w:pPr>
        <w:tabs>
          <w:tab w:val="left" w:pos="780"/>
        </w:tabs>
        <w:ind w:left="780" w:hanging="360"/>
      </w:pPr>
      <w:rPr>
        <w:rFonts w:hint="eastAsia" w:ascii="宋体" w:hAnsi="宋体" w:eastAsia="宋体" w:cs="Times New Roman"/>
        <w:b w:val="0"/>
      </w:rPr>
    </w:lvl>
    <w:lvl w:ilvl="2" w:tentative="0">
      <w:start w:val="1"/>
      <w:numFmt w:val="decimal"/>
      <w:lvlText w:val="%3."/>
      <w:lvlJc w:val="left"/>
      <w:pPr>
        <w:tabs>
          <w:tab w:val="left" w:pos="1200"/>
        </w:tabs>
        <w:ind w:left="1200" w:hanging="36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B8103DD"/>
    <w:multiLevelType w:val="multilevel"/>
    <w:tmpl w:val="0B8103DD"/>
    <w:lvl w:ilvl="0" w:tentative="0">
      <w:start w:val="1"/>
      <w:numFmt w:val="decimal"/>
      <w:lvlText w:val="%1."/>
      <w:lvlJc w:val="left"/>
      <w:pPr>
        <w:ind w:left="425" w:hanging="425"/>
      </w:pPr>
      <w:rPr>
        <w:rFonts w:hint="eastAsia"/>
      </w:rPr>
    </w:lvl>
    <w:lvl w:ilvl="1" w:tentative="0">
      <w:start w:val="1"/>
      <w:numFmt w:val="decimal"/>
      <w:lvlText w:val="%12.%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0D7576A7"/>
    <w:multiLevelType w:val="multilevel"/>
    <w:tmpl w:val="0D7576A7"/>
    <w:lvl w:ilvl="0" w:tentative="0">
      <w:start w:val="1"/>
      <w:numFmt w:val="decimal"/>
      <w:lvlText w:val="%1、"/>
      <w:lvlJc w:val="left"/>
      <w:pPr>
        <w:ind w:left="851" w:hanging="425"/>
      </w:pPr>
      <w:rPr>
        <w:b w:val="0"/>
        <w:strike w:val="0"/>
        <w:dstrike w:val="0"/>
        <w:sz w:val="24"/>
        <w:u w:val="none"/>
      </w:rPr>
    </w:lvl>
    <w:lvl w:ilvl="1" w:tentative="0">
      <w:start w:val="1"/>
      <w:numFmt w:val="decimal"/>
      <w:lvlText w:val="%1.%2."/>
      <w:lvlJc w:val="left"/>
      <w:pPr>
        <w:ind w:left="993" w:hanging="567"/>
      </w:pPr>
      <w:rPr>
        <w:rFonts w:ascii="宋体" w:hAnsi="宋体" w:eastAsia="宋体"/>
      </w:rPr>
    </w:lvl>
    <w:lvl w:ilvl="2" w:tentative="0">
      <w:start w:val="1"/>
      <w:numFmt w:val="decimal"/>
      <w:lvlText w:val="%1.%2.%3."/>
      <w:lvlJc w:val="left"/>
      <w:pPr>
        <w:ind w:left="1135" w:hanging="709"/>
      </w:pPr>
    </w:lvl>
    <w:lvl w:ilvl="3" w:tentative="0">
      <w:start w:val="1"/>
      <w:numFmt w:val="decimal"/>
      <w:lvlText w:val="%1.%2.%3.%4."/>
      <w:lvlJc w:val="left"/>
      <w:pPr>
        <w:ind w:left="1277" w:hanging="851"/>
      </w:pPr>
    </w:lvl>
    <w:lvl w:ilvl="4" w:tentative="0">
      <w:start w:val="1"/>
      <w:numFmt w:val="decimal"/>
      <w:lvlText w:val="%1.%2.%3.%4.%5."/>
      <w:lvlJc w:val="left"/>
      <w:pPr>
        <w:ind w:left="1418" w:hanging="992"/>
      </w:pPr>
    </w:lvl>
    <w:lvl w:ilvl="5" w:tentative="0">
      <w:start w:val="1"/>
      <w:numFmt w:val="decimal"/>
      <w:lvlText w:val="%1.%2.%3.%4.%5.%6."/>
      <w:lvlJc w:val="left"/>
      <w:pPr>
        <w:ind w:left="1560" w:hanging="1134"/>
      </w:pPr>
    </w:lvl>
    <w:lvl w:ilvl="6" w:tentative="0">
      <w:start w:val="1"/>
      <w:numFmt w:val="decimal"/>
      <w:lvlText w:val="%1.%2.%3.%4.%5.%6.%7."/>
      <w:lvlJc w:val="left"/>
      <w:pPr>
        <w:ind w:left="1702" w:hanging="1276"/>
      </w:pPr>
    </w:lvl>
    <w:lvl w:ilvl="7" w:tentative="0">
      <w:start w:val="1"/>
      <w:numFmt w:val="decimal"/>
      <w:lvlText w:val="%1.%2.%3.%4.%5.%6.%7.%8."/>
      <w:lvlJc w:val="left"/>
      <w:pPr>
        <w:ind w:left="1844" w:hanging="1418"/>
      </w:pPr>
    </w:lvl>
    <w:lvl w:ilvl="8" w:tentative="0">
      <w:start w:val="1"/>
      <w:numFmt w:val="decimal"/>
      <w:lvlText w:val="%1.%2.%3.%4.%5.%6.%7.%8.%9."/>
      <w:lvlJc w:val="left"/>
      <w:pPr>
        <w:ind w:left="1985" w:hanging="1559"/>
      </w:pPr>
    </w:lvl>
  </w:abstractNum>
  <w:abstractNum w:abstractNumId="7">
    <w:nsid w:val="0E5F61FC"/>
    <w:multiLevelType w:val="singleLevel"/>
    <w:tmpl w:val="0E5F61FC"/>
    <w:lvl w:ilvl="0" w:tentative="0">
      <w:start w:val="1"/>
      <w:numFmt w:val="decimal"/>
      <w:suff w:val="nothing"/>
      <w:lvlText w:val="%1、"/>
      <w:lvlJc w:val="left"/>
    </w:lvl>
  </w:abstractNum>
  <w:abstractNum w:abstractNumId="8">
    <w:nsid w:val="10B9337A"/>
    <w:multiLevelType w:val="multilevel"/>
    <w:tmpl w:val="10B9337A"/>
    <w:lvl w:ilvl="0" w:tentative="0">
      <w:start w:val="1"/>
      <w:numFmt w:val="decimal"/>
      <w:lvlText w:val="%1."/>
      <w:lvlJc w:val="left"/>
      <w:pPr>
        <w:ind w:left="425" w:hanging="425"/>
      </w:pPr>
      <w:rPr>
        <w:rFonts w:hint="eastAsia"/>
      </w:rPr>
    </w:lvl>
    <w:lvl w:ilvl="1" w:tentative="0">
      <w:start w:val="1"/>
      <w:numFmt w:val="decimal"/>
      <w:lvlText w:val="27.%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145E210C"/>
    <w:multiLevelType w:val="multilevel"/>
    <w:tmpl w:val="145E210C"/>
    <w:lvl w:ilvl="0" w:tentative="0">
      <w:start w:val="1"/>
      <w:numFmt w:val="decimal"/>
      <w:lvlText w:val="%1."/>
      <w:lvlJc w:val="left"/>
      <w:pPr>
        <w:ind w:left="425" w:hanging="425"/>
      </w:pPr>
      <w:rPr>
        <w:rFonts w:hint="eastAsia"/>
      </w:rPr>
    </w:lvl>
    <w:lvl w:ilvl="1" w:tentative="0">
      <w:start w:val="1"/>
      <w:numFmt w:val="decimal"/>
      <w:lvlText w:val="%1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0">
    <w:nsid w:val="1AD63299"/>
    <w:multiLevelType w:val="multilevel"/>
    <w:tmpl w:val="1AD63299"/>
    <w:lvl w:ilvl="0" w:tentative="0">
      <w:start w:val="1"/>
      <w:numFmt w:val="decimal"/>
      <w:lvlText w:val="%1."/>
      <w:lvlJc w:val="left"/>
      <w:pPr>
        <w:ind w:left="425" w:hanging="425"/>
      </w:pPr>
      <w:rPr>
        <w:rFonts w:hint="eastAsia"/>
      </w:rPr>
    </w:lvl>
    <w:lvl w:ilvl="1" w:tentative="0">
      <w:start w:val="1"/>
      <w:numFmt w:val="decimal"/>
      <w:lvlText w:val="20.%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1">
    <w:nsid w:val="1B0C5965"/>
    <w:multiLevelType w:val="multilevel"/>
    <w:tmpl w:val="1B0C5965"/>
    <w:lvl w:ilvl="0" w:tentative="0">
      <w:start w:val="1"/>
      <w:numFmt w:val="decimal"/>
      <w:lvlText w:val="%1."/>
      <w:lvlJc w:val="left"/>
      <w:pPr>
        <w:ind w:left="425" w:hanging="425"/>
      </w:pPr>
      <w:rPr>
        <w:rFonts w:hint="eastAsia"/>
      </w:rPr>
    </w:lvl>
    <w:lvl w:ilvl="1" w:tentative="0">
      <w:start w:val="1"/>
      <w:numFmt w:val="decimal"/>
      <w:lvlText w:val="25.%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2">
    <w:nsid w:val="1BAC422F"/>
    <w:multiLevelType w:val="multilevel"/>
    <w:tmpl w:val="1BAC422F"/>
    <w:lvl w:ilvl="0" w:tentative="0">
      <w:start w:val="1"/>
      <w:numFmt w:val="decimal"/>
      <w:lvlText w:val="%1."/>
      <w:lvlJc w:val="left"/>
      <w:pPr>
        <w:ind w:left="425" w:hanging="425"/>
      </w:pPr>
      <w:rPr>
        <w:rFonts w:hint="eastAsia"/>
      </w:rPr>
    </w:lvl>
    <w:lvl w:ilvl="1" w:tentative="0">
      <w:start w:val="1"/>
      <w:numFmt w:val="decimal"/>
      <w:lvlText w:val="2%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3">
    <w:nsid w:val="1E393157"/>
    <w:multiLevelType w:val="multilevel"/>
    <w:tmpl w:val="1E393157"/>
    <w:lvl w:ilvl="0" w:tentative="0">
      <w:start w:val="1"/>
      <w:numFmt w:val="decimal"/>
      <w:pStyle w:val="25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14B675E"/>
    <w:multiLevelType w:val="multilevel"/>
    <w:tmpl w:val="214B675E"/>
    <w:lvl w:ilvl="0" w:tentative="0">
      <w:start w:val="1"/>
      <w:numFmt w:val="decimal"/>
      <w:lvlText w:val="%1."/>
      <w:lvlJc w:val="left"/>
      <w:pPr>
        <w:ind w:left="425" w:hanging="425"/>
      </w:pPr>
      <w:rPr>
        <w:rFonts w:hint="eastAsia"/>
      </w:rPr>
    </w:lvl>
    <w:lvl w:ilvl="1" w:tentative="0">
      <w:start w:val="1"/>
      <w:numFmt w:val="decimal"/>
      <w:lvlText w:val="%17.%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5">
    <w:nsid w:val="2B6D2D4A"/>
    <w:multiLevelType w:val="multilevel"/>
    <w:tmpl w:val="2B6D2D4A"/>
    <w:lvl w:ilvl="0" w:tentative="0">
      <w:start w:val="1"/>
      <w:numFmt w:val="decimal"/>
      <w:pStyle w:val="278"/>
      <w:lvlText w:val="%1."/>
      <w:lvlJc w:val="left"/>
      <w:pPr>
        <w:ind w:left="425" w:hanging="425"/>
      </w:pPr>
      <w:rPr>
        <w:rFonts w:hint="eastAsia"/>
      </w:rPr>
    </w:lvl>
    <w:lvl w:ilvl="1" w:tentative="0">
      <w:start w:val="1"/>
      <w:numFmt w:val="decimal"/>
      <w:lvlText w:val="2.%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6">
    <w:nsid w:val="2EDC5C10"/>
    <w:multiLevelType w:val="singleLevel"/>
    <w:tmpl w:val="2EDC5C10"/>
    <w:lvl w:ilvl="0" w:tentative="0">
      <w:start w:val="2"/>
      <w:numFmt w:val="chineseCounting"/>
      <w:suff w:val="nothing"/>
      <w:lvlText w:val="%1、"/>
      <w:lvlJc w:val="left"/>
      <w:rPr>
        <w:rFonts w:hint="eastAsia"/>
      </w:rPr>
    </w:lvl>
  </w:abstractNum>
  <w:abstractNum w:abstractNumId="17">
    <w:nsid w:val="2F6908B5"/>
    <w:multiLevelType w:val="multilevel"/>
    <w:tmpl w:val="2F6908B5"/>
    <w:lvl w:ilvl="0" w:tentative="0">
      <w:start w:val="1"/>
      <w:numFmt w:val="decimal"/>
      <w:lvlText w:val="%1."/>
      <w:lvlJc w:val="left"/>
      <w:pPr>
        <w:ind w:left="425" w:hanging="425"/>
      </w:pPr>
      <w:rPr>
        <w:rFonts w:hint="eastAsia"/>
      </w:rPr>
    </w:lvl>
    <w:lvl w:ilvl="1" w:tentative="0">
      <w:start w:val="1"/>
      <w:numFmt w:val="decimal"/>
      <w:lvlText w:val="4.%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8">
    <w:nsid w:val="31182383"/>
    <w:multiLevelType w:val="multilevel"/>
    <w:tmpl w:val="31182383"/>
    <w:lvl w:ilvl="0" w:tentative="0">
      <w:start w:val="1"/>
      <w:numFmt w:val="decimal"/>
      <w:lvlText w:val="%1、"/>
      <w:lvlJc w:val="left"/>
      <w:pPr>
        <w:ind w:left="993" w:hanging="425"/>
      </w:pPr>
      <w:rPr>
        <w:b w:val="0"/>
        <w:color w:val="auto"/>
      </w:r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9">
    <w:nsid w:val="43EF6AB0"/>
    <w:multiLevelType w:val="multilevel"/>
    <w:tmpl w:val="43EF6AB0"/>
    <w:lvl w:ilvl="0" w:tentative="0">
      <w:start w:val="1"/>
      <w:numFmt w:val="decimal"/>
      <w:lvlText w:val="%1、"/>
      <w:lvlJc w:val="left"/>
      <w:pPr>
        <w:ind w:left="1559" w:hanging="425"/>
      </w:pPr>
      <w:rPr>
        <w:rFonts w:hint="default" w:ascii="宋体" w:hAnsi="宋体" w:eastAsia="宋体" w:cs="Times New Roman"/>
        <w:b w:val="0"/>
        <w:sz w:val="24"/>
      </w:rPr>
    </w:lvl>
    <w:lvl w:ilvl="1" w:tentative="0">
      <w:start w:val="1"/>
      <w:numFmt w:val="decimal"/>
      <w:lvlText w:val="%1.%2."/>
      <w:lvlJc w:val="left"/>
      <w:pPr>
        <w:ind w:left="567" w:hanging="567"/>
      </w:pPr>
      <w:rPr>
        <w:rFonts w:ascii="宋体" w:hAnsi="宋体" w:eastAsia="宋体"/>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0">
    <w:nsid w:val="479566E9"/>
    <w:multiLevelType w:val="multilevel"/>
    <w:tmpl w:val="479566E9"/>
    <w:lvl w:ilvl="0" w:tentative="0">
      <w:start w:val="1"/>
      <w:numFmt w:val="decimal"/>
      <w:lvlText w:val="%1、"/>
      <w:lvlJc w:val="left"/>
      <w:pPr>
        <w:tabs>
          <w:tab w:val="left" w:pos="900"/>
        </w:tabs>
        <w:ind w:left="900" w:hanging="480"/>
      </w:pPr>
      <w:rPr>
        <w:rFonts w:hint="eastAsia" w:ascii="宋体" w:hAnsi="宋体" w:eastAsia="宋体" w:cs="Times New Roman"/>
        <w:b w:val="0"/>
      </w:rPr>
    </w:lvl>
    <w:lvl w:ilvl="1" w:tentative="0">
      <w:start w:val="1"/>
      <w:numFmt w:val="decimal"/>
      <w:lvlText w:val="%2、"/>
      <w:lvlJc w:val="left"/>
      <w:pPr>
        <w:tabs>
          <w:tab w:val="left" w:pos="1200"/>
        </w:tabs>
        <w:ind w:left="1200" w:hanging="360"/>
      </w:pPr>
      <w:rPr>
        <w:rFonts w:hint="eastAsia" w:ascii="宋体" w:hAnsi="宋体" w:eastAsia="宋体" w:cs="Times New Roman"/>
        <w:b w:val="0"/>
      </w:rPr>
    </w:lvl>
    <w:lvl w:ilvl="2" w:tentative="0">
      <w:start w:val="1"/>
      <w:numFmt w:val="decimal"/>
      <w:lvlText w:val="%3."/>
      <w:lvlJc w:val="left"/>
      <w:pPr>
        <w:tabs>
          <w:tab w:val="left" w:pos="1620"/>
        </w:tabs>
        <w:ind w:left="1620" w:hanging="36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1">
    <w:nsid w:val="49A3236E"/>
    <w:multiLevelType w:val="multilevel"/>
    <w:tmpl w:val="49A3236E"/>
    <w:lvl w:ilvl="0" w:tentative="0">
      <w:start w:val="1"/>
      <w:numFmt w:val="decimal"/>
      <w:lvlText w:val="%1."/>
      <w:lvlJc w:val="left"/>
      <w:pPr>
        <w:ind w:left="425" w:hanging="425"/>
      </w:pPr>
      <w:rPr>
        <w:rFonts w:hint="eastAsia"/>
      </w:rPr>
    </w:lvl>
    <w:lvl w:ilvl="1" w:tentative="0">
      <w:start w:val="1"/>
      <w:numFmt w:val="decimal"/>
      <w:lvlText w:val="%13.%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2">
    <w:nsid w:val="4B170510"/>
    <w:multiLevelType w:val="multilevel"/>
    <w:tmpl w:val="4B170510"/>
    <w:lvl w:ilvl="0" w:tentative="0">
      <w:start w:val="1"/>
      <w:numFmt w:val="decimal"/>
      <w:pStyle w:val="180"/>
      <w:lvlText w:val="%1)"/>
      <w:lvlJc w:val="left"/>
      <w:pPr>
        <w:ind w:left="420" w:hanging="420"/>
      </w:pPr>
      <w:rPr>
        <w:rFonts w:ascii="宋体" w:hAnsi="宋体" w:eastAsia="宋体"/>
        <w:b/>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E013405"/>
    <w:multiLevelType w:val="multilevel"/>
    <w:tmpl w:val="4E013405"/>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20.%2.%3"/>
      <w:lvlJc w:val="left"/>
      <w:pPr>
        <w:ind w:left="567"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54E51AE9"/>
    <w:multiLevelType w:val="multilevel"/>
    <w:tmpl w:val="54E51AE9"/>
    <w:lvl w:ilvl="0" w:tentative="0">
      <w:start w:val="1"/>
      <w:numFmt w:val="decimal"/>
      <w:lvlText w:val="%1、"/>
      <w:lvlJc w:val="left"/>
      <w:pPr>
        <w:ind w:left="3686" w:hanging="425"/>
      </w:pPr>
      <w:rPr>
        <w:b w:val="0"/>
      </w:rPr>
    </w:lvl>
    <w:lvl w:ilvl="1" w:tentative="0">
      <w:start w:val="1"/>
      <w:numFmt w:val="decimal"/>
      <w:lvlText w:val="%1.%2."/>
      <w:lvlJc w:val="left"/>
      <w:pPr>
        <w:ind w:left="567" w:hanging="567"/>
      </w:pPr>
      <w:rPr>
        <w:rFonts w:ascii="宋体" w:hAnsi="宋体" w:eastAsia="宋体"/>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5">
    <w:nsid w:val="59E0775A"/>
    <w:multiLevelType w:val="singleLevel"/>
    <w:tmpl w:val="59E0775A"/>
    <w:lvl w:ilvl="0" w:tentative="0">
      <w:start w:val="1"/>
      <w:numFmt w:val="chineseCounting"/>
      <w:pStyle w:val="165"/>
      <w:suff w:val="nothing"/>
      <w:lvlText w:val="%1、"/>
      <w:lvlJc w:val="left"/>
      <w:pPr>
        <w:ind w:left="6" w:firstLine="420"/>
      </w:pPr>
      <w:rPr>
        <w:rFonts w:hint="eastAsia"/>
      </w:rPr>
    </w:lvl>
  </w:abstractNum>
  <w:abstractNum w:abstractNumId="26">
    <w:nsid w:val="5A9C50D8"/>
    <w:multiLevelType w:val="multilevel"/>
    <w:tmpl w:val="5A9C50D8"/>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20.2.%3"/>
      <w:lvlJc w:val="left"/>
      <w:pPr>
        <w:ind w:left="567"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7">
    <w:nsid w:val="5E1D57DD"/>
    <w:multiLevelType w:val="multilevel"/>
    <w:tmpl w:val="5E1D57DD"/>
    <w:lvl w:ilvl="0" w:tentative="0">
      <w:start w:val="1"/>
      <w:numFmt w:val="chineseCountingThousand"/>
      <w:pStyle w:val="47"/>
      <w:lvlText w:val="%1、"/>
      <w:lvlJc w:val="left"/>
      <w:pPr>
        <w:ind w:left="900" w:hanging="420"/>
      </w:pPr>
      <w:rPr>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pStyle w:val="303"/>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8">
    <w:nsid w:val="5FAF077B"/>
    <w:multiLevelType w:val="multilevel"/>
    <w:tmpl w:val="5FAF077B"/>
    <w:lvl w:ilvl="0" w:tentative="0">
      <w:start w:val="1"/>
      <w:numFmt w:val="japaneseCounting"/>
      <w:lvlText w:val="%1、"/>
      <w:lvlJc w:val="left"/>
      <w:pPr>
        <w:tabs>
          <w:tab w:val="left" w:pos="764"/>
        </w:tabs>
        <w:ind w:left="764" w:hanging="480"/>
      </w:pPr>
    </w:lvl>
    <w:lvl w:ilvl="1" w:tentative="0">
      <w:start w:val="1"/>
      <w:numFmt w:val="decimal"/>
      <w:lvlText w:val="%2、"/>
      <w:lvlJc w:val="left"/>
      <w:pPr>
        <w:tabs>
          <w:tab w:val="left" w:pos="780"/>
        </w:tabs>
        <w:ind w:left="780" w:hanging="360"/>
      </w:pPr>
      <w:rPr>
        <w:rFonts w:hint="eastAsia" w:ascii="宋体" w:hAnsi="宋体" w:eastAsia="宋体" w:cs="Times New Roman"/>
        <w:b w:val="0"/>
      </w:rPr>
    </w:lvl>
    <w:lvl w:ilvl="2" w:tentative="0">
      <w:start w:val="1"/>
      <w:numFmt w:val="decimal"/>
      <w:lvlText w:val="%3."/>
      <w:lvlJc w:val="left"/>
      <w:pPr>
        <w:tabs>
          <w:tab w:val="left" w:pos="1200"/>
        </w:tabs>
        <w:ind w:left="1200" w:hanging="36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180295E"/>
    <w:multiLevelType w:val="multilevel"/>
    <w:tmpl w:val="6180295E"/>
    <w:lvl w:ilvl="0" w:tentative="0">
      <w:start w:val="1"/>
      <w:numFmt w:val="decimal"/>
      <w:lvlText w:val="%1."/>
      <w:lvlJc w:val="left"/>
      <w:pPr>
        <w:ind w:left="425" w:hanging="425"/>
      </w:pPr>
      <w:rPr>
        <w:rFonts w:hint="eastAsia"/>
      </w:rPr>
    </w:lvl>
    <w:lvl w:ilvl="1" w:tentative="0">
      <w:start w:val="1"/>
      <w:numFmt w:val="decimal"/>
      <w:lvlText w:val="%10.%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0">
    <w:nsid w:val="678076BC"/>
    <w:multiLevelType w:val="multilevel"/>
    <w:tmpl w:val="678076BC"/>
    <w:lvl w:ilvl="0" w:tentative="0">
      <w:start w:val="1"/>
      <w:numFmt w:val="decimal"/>
      <w:lvlText w:val="%1"/>
      <w:lvlJc w:val="left"/>
      <w:pPr>
        <w:ind w:left="425" w:hanging="425"/>
      </w:pPr>
      <w:rPr>
        <w:rFonts w:hint="eastAsia"/>
      </w:rPr>
    </w:lvl>
    <w:lvl w:ilvl="1" w:tentative="0">
      <w:start w:val="1"/>
      <w:numFmt w:val="decimal"/>
      <w:lvlText w:val="22.%2"/>
      <w:lvlJc w:val="left"/>
      <w:pPr>
        <w:ind w:left="567"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1">
    <w:nsid w:val="685A1821"/>
    <w:multiLevelType w:val="multilevel"/>
    <w:tmpl w:val="685A1821"/>
    <w:lvl w:ilvl="0" w:tentative="0">
      <w:start w:val="1"/>
      <w:numFmt w:val="decimal"/>
      <w:lvlText w:val="%1、"/>
      <w:lvlJc w:val="left"/>
      <w:pPr>
        <w:ind w:left="840" w:hanging="420"/>
      </w:pPr>
      <w:rPr>
        <w:rFonts w:hint="eastAsia" w:ascii="宋体" w:hAnsi="宋体" w:eastAsia="宋体" w:cs="Times New Roman"/>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
    <w:nsid w:val="6ACB34DA"/>
    <w:multiLevelType w:val="multilevel"/>
    <w:tmpl w:val="6ACB34DA"/>
    <w:lvl w:ilvl="0" w:tentative="0">
      <w:start w:val="1"/>
      <w:numFmt w:val="decimal"/>
      <w:lvlText w:val="%1、"/>
      <w:lvlJc w:val="left"/>
      <w:pPr>
        <w:ind w:left="851" w:hanging="425"/>
      </w:pPr>
      <w:rPr>
        <w:b w:val="0"/>
        <w:color w:val="auto"/>
      </w:rPr>
    </w:lvl>
    <w:lvl w:ilvl="1" w:tentative="0">
      <w:start w:val="1"/>
      <w:numFmt w:val="decimal"/>
      <w:lvlText w:val="%1.%2."/>
      <w:lvlJc w:val="left"/>
      <w:pPr>
        <w:ind w:left="567" w:hanging="567"/>
      </w:pPr>
      <w:rPr>
        <w:rFonts w:ascii="宋体" w:hAnsi="宋体" w:eastAsia="宋体"/>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3">
    <w:nsid w:val="6BDB7B37"/>
    <w:multiLevelType w:val="multilevel"/>
    <w:tmpl w:val="6BDB7B37"/>
    <w:lvl w:ilvl="0" w:tentative="0">
      <w:start w:val="1"/>
      <w:numFmt w:val="decimal"/>
      <w:lvlText w:val="%1、"/>
      <w:lvlJc w:val="left"/>
      <w:pPr>
        <w:ind w:left="851" w:hanging="425"/>
      </w:pPr>
      <w:rPr>
        <w:b w:val="0"/>
        <w:color w:val="auto"/>
      </w:rPr>
    </w:lvl>
    <w:lvl w:ilvl="1" w:tentative="0">
      <w:start w:val="1"/>
      <w:numFmt w:val="decimal"/>
      <w:lvlText w:val="%1.%2."/>
      <w:lvlJc w:val="left"/>
      <w:pPr>
        <w:ind w:left="567" w:hanging="567"/>
      </w:pPr>
      <w:rPr>
        <w:rFonts w:ascii="宋体" w:hAnsi="宋体" w:eastAsia="宋体"/>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4">
    <w:nsid w:val="6C067D73"/>
    <w:multiLevelType w:val="multilevel"/>
    <w:tmpl w:val="6C067D73"/>
    <w:lvl w:ilvl="0" w:tentative="0">
      <w:start w:val="1"/>
      <w:numFmt w:val="decimal"/>
      <w:lvlText w:val="%1"/>
      <w:lvlJc w:val="left"/>
      <w:pPr>
        <w:ind w:left="425" w:hanging="425"/>
      </w:pPr>
      <w:rPr>
        <w:rFonts w:hint="eastAsia"/>
      </w:rPr>
    </w:lvl>
    <w:lvl w:ilvl="1" w:tentative="0">
      <w:start w:val="1"/>
      <w:numFmt w:val="decimal"/>
      <w:lvlText w:val="23.%2"/>
      <w:lvlJc w:val="left"/>
      <w:pPr>
        <w:ind w:left="567"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5">
    <w:nsid w:val="78D54744"/>
    <w:multiLevelType w:val="multilevel"/>
    <w:tmpl w:val="78D54744"/>
    <w:lvl w:ilvl="0" w:tentative="0">
      <w:start w:val="1"/>
      <w:numFmt w:val="decimal"/>
      <w:pStyle w:val="14"/>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7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02"/>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FD43DE7"/>
    <w:multiLevelType w:val="multilevel"/>
    <w:tmpl w:val="7FD43DE7"/>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2%1.%2.%3"/>
      <w:lvlJc w:val="left"/>
      <w:pPr>
        <w:ind w:left="567"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35"/>
  </w:num>
  <w:num w:numId="2">
    <w:abstractNumId w:val="27"/>
  </w:num>
  <w:num w:numId="3">
    <w:abstractNumId w:val="25"/>
  </w:num>
  <w:num w:numId="4">
    <w:abstractNumId w:val="22"/>
  </w:num>
  <w:num w:numId="5">
    <w:abstractNumId w:val="13"/>
  </w:num>
  <w:num w:numId="6">
    <w:abstractNumId w:val="15"/>
  </w:num>
  <w:num w:numId="7">
    <w:abstractNumId w:val="1"/>
  </w:num>
  <w:num w:numId="8">
    <w:abstractNumId w:val="17"/>
  </w:num>
  <w:num w:numId="9">
    <w:abstractNumId w:val="29"/>
  </w:num>
  <w:num w:numId="10">
    <w:abstractNumId w:val="9"/>
  </w:num>
  <w:num w:numId="11">
    <w:abstractNumId w:val="5"/>
  </w:num>
  <w:num w:numId="12">
    <w:abstractNumId w:val="21"/>
  </w:num>
  <w:num w:numId="13">
    <w:abstractNumId w:val="14"/>
  </w:num>
  <w:num w:numId="14">
    <w:abstractNumId w:val="3"/>
  </w:num>
  <w:num w:numId="15">
    <w:abstractNumId w:val="10"/>
  </w:num>
  <w:num w:numId="16">
    <w:abstractNumId w:val="23"/>
  </w:num>
  <w:num w:numId="17">
    <w:abstractNumId w:val="26"/>
  </w:num>
  <w:num w:numId="18">
    <w:abstractNumId w:val="12"/>
  </w:num>
  <w:num w:numId="19">
    <w:abstractNumId w:val="36"/>
  </w:num>
  <w:num w:numId="20">
    <w:abstractNumId w:val="30"/>
  </w:num>
  <w:num w:numId="21">
    <w:abstractNumId w:val="34"/>
  </w:num>
  <w:num w:numId="22">
    <w:abstractNumId w:val="2"/>
  </w:num>
  <w:num w:numId="23">
    <w:abstractNumId w:val="11"/>
  </w:num>
  <w:num w:numId="24">
    <w:abstractNumId w:val="8"/>
  </w:num>
  <w:num w:numId="25">
    <w:abstractNumId w:val="16"/>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0"/>
  </w:num>
  <w:num w:numId="33">
    <w:abstractNumId w:val="0"/>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MzJiOWIxOWY0MGEyYTYxZDMxODA1NWU3NzQyZGQifQ=="/>
    <w:docVar w:name="KSO_WPS_MARK_KEY" w:val="ea5c6b78-bf31-479e-872c-e1930c39940c"/>
  </w:docVars>
  <w:rsids>
    <w:rsidRoot w:val="00ED3D3C"/>
    <w:rsid w:val="00000777"/>
    <w:rsid w:val="00000B85"/>
    <w:rsid w:val="00001EBB"/>
    <w:rsid w:val="00002131"/>
    <w:rsid w:val="0000255A"/>
    <w:rsid w:val="00002935"/>
    <w:rsid w:val="00002BB9"/>
    <w:rsid w:val="000030D6"/>
    <w:rsid w:val="000043E5"/>
    <w:rsid w:val="00005476"/>
    <w:rsid w:val="0000592A"/>
    <w:rsid w:val="000077E7"/>
    <w:rsid w:val="00010678"/>
    <w:rsid w:val="00010ADA"/>
    <w:rsid w:val="00010F1F"/>
    <w:rsid w:val="0001191C"/>
    <w:rsid w:val="00015AAD"/>
    <w:rsid w:val="00021756"/>
    <w:rsid w:val="00021980"/>
    <w:rsid w:val="00021C6E"/>
    <w:rsid w:val="00022035"/>
    <w:rsid w:val="00023CE1"/>
    <w:rsid w:val="00025B68"/>
    <w:rsid w:val="00026B95"/>
    <w:rsid w:val="00027DA9"/>
    <w:rsid w:val="00027E68"/>
    <w:rsid w:val="000301E0"/>
    <w:rsid w:val="00030DFC"/>
    <w:rsid w:val="0003145F"/>
    <w:rsid w:val="0003213B"/>
    <w:rsid w:val="00032AAE"/>
    <w:rsid w:val="00036405"/>
    <w:rsid w:val="0004005A"/>
    <w:rsid w:val="00040C02"/>
    <w:rsid w:val="00040C74"/>
    <w:rsid w:val="000411BD"/>
    <w:rsid w:val="000417F3"/>
    <w:rsid w:val="00042F7A"/>
    <w:rsid w:val="00043D23"/>
    <w:rsid w:val="00044668"/>
    <w:rsid w:val="00046B8B"/>
    <w:rsid w:val="00046CA4"/>
    <w:rsid w:val="00047569"/>
    <w:rsid w:val="00047975"/>
    <w:rsid w:val="000501FF"/>
    <w:rsid w:val="0005194F"/>
    <w:rsid w:val="00053537"/>
    <w:rsid w:val="00054913"/>
    <w:rsid w:val="0005524D"/>
    <w:rsid w:val="000553AF"/>
    <w:rsid w:val="00056BE7"/>
    <w:rsid w:val="00056C9E"/>
    <w:rsid w:val="00056E88"/>
    <w:rsid w:val="000573EA"/>
    <w:rsid w:val="000578ED"/>
    <w:rsid w:val="00060DB5"/>
    <w:rsid w:val="000642C0"/>
    <w:rsid w:val="00064A9C"/>
    <w:rsid w:val="00065B2C"/>
    <w:rsid w:val="00067321"/>
    <w:rsid w:val="000709F3"/>
    <w:rsid w:val="00072D64"/>
    <w:rsid w:val="00072E65"/>
    <w:rsid w:val="000732FB"/>
    <w:rsid w:val="00074C43"/>
    <w:rsid w:val="00075684"/>
    <w:rsid w:val="00075FD0"/>
    <w:rsid w:val="0007616F"/>
    <w:rsid w:val="00081C3C"/>
    <w:rsid w:val="0008370E"/>
    <w:rsid w:val="00083C36"/>
    <w:rsid w:val="00086826"/>
    <w:rsid w:val="00086D58"/>
    <w:rsid w:val="00086FB2"/>
    <w:rsid w:val="00087BC4"/>
    <w:rsid w:val="000912B7"/>
    <w:rsid w:val="000917BB"/>
    <w:rsid w:val="00092A40"/>
    <w:rsid w:val="00093D17"/>
    <w:rsid w:val="00094810"/>
    <w:rsid w:val="0009578A"/>
    <w:rsid w:val="00095C5C"/>
    <w:rsid w:val="00096446"/>
    <w:rsid w:val="00097760"/>
    <w:rsid w:val="000A011A"/>
    <w:rsid w:val="000A0182"/>
    <w:rsid w:val="000A0B3F"/>
    <w:rsid w:val="000A12E5"/>
    <w:rsid w:val="000A2FC9"/>
    <w:rsid w:val="000A5485"/>
    <w:rsid w:val="000A638D"/>
    <w:rsid w:val="000A6ECE"/>
    <w:rsid w:val="000B2F15"/>
    <w:rsid w:val="000B3524"/>
    <w:rsid w:val="000B3819"/>
    <w:rsid w:val="000B49E9"/>
    <w:rsid w:val="000B5501"/>
    <w:rsid w:val="000B661D"/>
    <w:rsid w:val="000B67D2"/>
    <w:rsid w:val="000C29C8"/>
    <w:rsid w:val="000C4890"/>
    <w:rsid w:val="000C74DF"/>
    <w:rsid w:val="000D1BAD"/>
    <w:rsid w:val="000D203D"/>
    <w:rsid w:val="000D275E"/>
    <w:rsid w:val="000D3F56"/>
    <w:rsid w:val="000D6432"/>
    <w:rsid w:val="000D64D4"/>
    <w:rsid w:val="000D6792"/>
    <w:rsid w:val="000D6DB0"/>
    <w:rsid w:val="000D7BAE"/>
    <w:rsid w:val="000E420A"/>
    <w:rsid w:val="000E4D81"/>
    <w:rsid w:val="000E6991"/>
    <w:rsid w:val="000E7F48"/>
    <w:rsid w:val="000F1C24"/>
    <w:rsid w:val="000F1E07"/>
    <w:rsid w:val="000F2210"/>
    <w:rsid w:val="000F261D"/>
    <w:rsid w:val="000F45B2"/>
    <w:rsid w:val="000F4953"/>
    <w:rsid w:val="000F4AC2"/>
    <w:rsid w:val="000F521F"/>
    <w:rsid w:val="000F5A48"/>
    <w:rsid w:val="000F686C"/>
    <w:rsid w:val="000F713E"/>
    <w:rsid w:val="000F7C75"/>
    <w:rsid w:val="000F7D99"/>
    <w:rsid w:val="00103580"/>
    <w:rsid w:val="00104A48"/>
    <w:rsid w:val="00104B5A"/>
    <w:rsid w:val="001051CC"/>
    <w:rsid w:val="00106342"/>
    <w:rsid w:val="00106746"/>
    <w:rsid w:val="00110A2F"/>
    <w:rsid w:val="00110B4D"/>
    <w:rsid w:val="00112C9A"/>
    <w:rsid w:val="0011308B"/>
    <w:rsid w:val="001132F7"/>
    <w:rsid w:val="001139DA"/>
    <w:rsid w:val="00113F47"/>
    <w:rsid w:val="00115057"/>
    <w:rsid w:val="00115E6E"/>
    <w:rsid w:val="00116455"/>
    <w:rsid w:val="00116D3E"/>
    <w:rsid w:val="00117C17"/>
    <w:rsid w:val="001208D1"/>
    <w:rsid w:val="00121CF5"/>
    <w:rsid w:val="00122D47"/>
    <w:rsid w:val="00125D23"/>
    <w:rsid w:val="0013020A"/>
    <w:rsid w:val="00130372"/>
    <w:rsid w:val="00130CBC"/>
    <w:rsid w:val="001330C5"/>
    <w:rsid w:val="00135FF2"/>
    <w:rsid w:val="001423AE"/>
    <w:rsid w:val="00142DD4"/>
    <w:rsid w:val="00143025"/>
    <w:rsid w:val="00143729"/>
    <w:rsid w:val="00144C60"/>
    <w:rsid w:val="00145C36"/>
    <w:rsid w:val="00146200"/>
    <w:rsid w:val="001473DF"/>
    <w:rsid w:val="0014742B"/>
    <w:rsid w:val="00150168"/>
    <w:rsid w:val="001511A4"/>
    <w:rsid w:val="00151E9C"/>
    <w:rsid w:val="00152368"/>
    <w:rsid w:val="00152717"/>
    <w:rsid w:val="00154ED6"/>
    <w:rsid w:val="001553DD"/>
    <w:rsid w:val="0015653F"/>
    <w:rsid w:val="0015735C"/>
    <w:rsid w:val="001602F4"/>
    <w:rsid w:val="0016131E"/>
    <w:rsid w:val="001620C7"/>
    <w:rsid w:val="00162607"/>
    <w:rsid w:val="001631B7"/>
    <w:rsid w:val="001658D3"/>
    <w:rsid w:val="00165C4C"/>
    <w:rsid w:val="00166324"/>
    <w:rsid w:val="00167A87"/>
    <w:rsid w:val="001703F1"/>
    <w:rsid w:val="001715A0"/>
    <w:rsid w:val="001717D2"/>
    <w:rsid w:val="00171D1D"/>
    <w:rsid w:val="0017204E"/>
    <w:rsid w:val="001734F6"/>
    <w:rsid w:val="00173D93"/>
    <w:rsid w:val="00173F6F"/>
    <w:rsid w:val="001742CA"/>
    <w:rsid w:val="00174633"/>
    <w:rsid w:val="00175F9E"/>
    <w:rsid w:val="00176B49"/>
    <w:rsid w:val="00176FFB"/>
    <w:rsid w:val="00180760"/>
    <w:rsid w:val="00180911"/>
    <w:rsid w:val="00182BD4"/>
    <w:rsid w:val="00183452"/>
    <w:rsid w:val="001840F2"/>
    <w:rsid w:val="00184623"/>
    <w:rsid w:val="00184BB9"/>
    <w:rsid w:val="00184CA6"/>
    <w:rsid w:val="00187093"/>
    <w:rsid w:val="00187604"/>
    <w:rsid w:val="00187DFE"/>
    <w:rsid w:val="00187FD4"/>
    <w:rsid w:val="00190C10"/>
    <w:rsid w:val="00191DAD"/>
    <w:rsid w:val="00192FCF"/>
    <w:rsid w:val="00196340"/>
    <w:rsid w:val="00196397"/>
    <w:rsid w:val="001A1C8F"/>
    <w:rsid w:val="001A29F4"/>
    <w:rsid w:val="001A2C2B"/>
    <w:rsid w:val="001A2EB0"/>
    <w:rsid w:val="001A3238"/>
    <w:rsid w:val="001A3D31"/>
    <w:rsid w:val="001A47FE"/>
    <w:rsid w:val="001B01AF"/>
    <w:rsid w:val="001B1FD2"/>
    <w:rsid w:val="001B328A"/>
    <w:rsid w:val="001B3363"/>
    <w:rsid w:val="001B3CA4"/>
    <w:rsid w:val="001B5B0D"/>
    <w:rsid w:val="001B61C5"/>
    <w:rsid w:val="001C0044"/>
    <w:rsid w:val="001C022B"/>
    <w:rsid w:val="001C05FA"/>
    <w:rsid w:val="001C0BB2"/>
    <w:rsid w:val="001C114C"/>
    <w:rsid w:val="001C24A7"/>
    <w:rsid w:val="001C464C"/>
    <w:rsid w:val="001C4930"/>
    <w:rsid w:val="001C4C01"/>
    <w:rsid w:val="001C4E57"/>
    <w:rsid w:val="001C52F3"/>
    <w:rsid w:val="001C582A"/>
    <w:rsid w:val="001D0CF8"/>
    <w:rsid w:val="001D1001"/>
    <w:rsid w:val="001D105E"/>
    <w:rsid w:val="001D19A0"/>
    <w:rsid w:val="001D1B3A"/>
    <w:rsid w:val="001D1DD6"/>
    <w:rsid w:val="001D2CD3"/>
    <w:rsid w:val="001D4DB2"/>
    <w:rsid w:val="001D5187"/>
    <w:rsid w:val="001D68EC"/>
    <w:rsid w:val="001E1211"/>
    <w:rsid w:val="001E27D8"/>
    <w:rsid w:val="001E28D5"/>
    <w:rsid w:val="001E4A51"/>
    <w:rsid w:val="001E59F7"/>
    <w:rsid w:val="001E68B2"/>
    <w:rsid w:val="001E72E3"/>
    <w:rsid w:val="001F00D4"/>
    <w:rsid w:val="001F04DE"/>
    <w:rsid w:val="001F1BC8"/>
    <w:rsid w:val="001F54A0"/>
    <w:rsid w:val="001F563D"/>
    <w:rsid w:val="001F6371"/>
    <w:rsid w:val="001F6388"/>
    <w:rsid w:val="001F6A7D"/>
    <w:rsid w:val="001F7B5C"/>
    <w:rsid w:val="00200651"/>
    <w:rsid w:val="00201DA6"/>
    <w:rsid w:val="00202198"/>
    <w:rsid w:val="002034A8"/>
    <w:rsid w:val="00203A7A"/>
    <w:rsid w:val="0020434B"/>
    <w:rsid w:val="0020594E"/>
    <w:rsid w:val="00205AE1"/>
    <w:rsid w:val="00207BB3"/>
    <w:rsid w:val="0021021D"/>
    <w:rsid w:val="00210624"/>
    <w:rsid w:val="002108CB"/>
    <w:rsid w:val="0021358F"/>
    <w:rsid w:val="00214D32"/>
    <w:rsid w:val="002175AB"/>
    <w:rsid w:val="002208E0"/>
    <w:rsid w:val="00221C82"/>
    <w:rsid w:val="00222EAD"/>
    <w:rsid w:val="002237A1"/>
    <w:rsid w:val="00225994"/>
    <w:rsid w:val="00231888"/>
    <w:rsid w:val="002323F2"/>
    <w:rsid w:val="002334FD"/>
    <w:rsid w:val="0023371F"/>
    <w:rsid w:val="00233756"/>
    <w:rsid w:val="0023376A"/>
    <w:rsid w:val="002363E4"/>
    <w:rsid w:val="00237755"/>
    <w:rsid w:val="002429F7"/>
    <w:rsid w:val="00243F59"/>
    <w:rsid w:val="002454D1"/>
    <w:rsid w:val="00245A8F"/>
    <w:rsid w:val="00245E65"/>
    <w:rsid w:val="00246C1D"/>
    <w:rsid w:val="00250545"/>
    <w:rsid w:val="00250CB7"/>
    <w:rsid w:val="0025146A"/>
    <w:rsid w:val="002557E8"/>
    <w:rsid w:val="00255A82"/>
    <w:rsid w:val="00255C83"/>
    <w:rsid w:val="00256B46"/>
    <w:rsid w:val="00257FEF"/>
    <w:rsid w:val="0026006F"/>
    <w:rsid w:val="00260276"/>
    <w:rsid w:val="002603CF"/>
    <w:rsid w:val="00261733"/>
    <w:rsid w:val="00264990"/>
    <w:rsid w:val="0026656A"/>
    <w:rsid w:val="002671D8"/>
    <w:rsid w:val="002709C8"/>
    <w:rsid w:val="00270C19"/>
    <w:rsid w:val="00270C9A"/>
    <w:rsid w:val="00271724"/>
    <w:rsid w:val="00271A5A"/>
    <w:rsid w:val="00272EF4"/>
    <w:rsid w:val="00273905"/>
    <w:rsid w:val="00273CBB"/>
    <w:rsid w:val="0027450F"/>
    <w:rsid w:val="00274769"/>
    <w:rsid w:val="002754DA"/>
    <w:rsid w:val="002769CA"/>
    <w:rsid w:val="00280D8F"/>
    <w:rsid w:val="00281326"/>
    <w:rsid w:val="00281C34"/>
    <w:rsid w:val="00281D07"/>
    <w:rsid w:val="0028416D"/>
    <w:rsid w:val="002843FF"/>
    <w:rsid w:val="00291B7A"/>
    <w:rsid w:val="00292ED6"/>
    <w:rsid w:val="002933FC"/>
    <w:rsid w:val="0029603E"/>
    <w:rsid w:val="0029640E"/>
    <w:rsid w:val="00296C0F"/>
    <w:rsid w:val="002A0711"/>
    <w:rsid w:val="002A0820"/>
    <w:rsid w:val="002A0EE8"/>
    <w:rsid w:val="002A1068"/>
    <w:rsid w:val="002A20AD"/>
    <w:rsid w:val="002A37E0"/>
    <w:rsid w:val="002A5688"/>
    <w:rsid w:val="002A586B"/>
    <w:rsid w:val="002A687F"/>
    <w:rsid w:val="002B0D74"/>
    <w:rsid w:val="002B0DB2"/>
    <w:rsid w:val="002B3F63"/>
    <w:rsid w:val="002B40C9"/>
    <w:rsid w:val="002B5C8E"/>
    <w:rsid w:val="002B669A"/>
    <w:rsid w:val="002B74B0"/>
    <w:rsid w:val="002B7DA7"/>
    <w:rsid w:val="002C07F0"/>
    <w:rsid w:val="002C3A62"/>
    <w:rsid w:val="002C4F2A"/>
    <w:rsid w:val="002C5546"/>
    <w:rsid w:val="002C593A"/>
    <w:rsid w:val="002C6B18"/>
    <w:rsid w:val="002C7988"/>
    <w:rsid w:val="002D2CB7"/>
    <w:rsid w:val="002D352D"/>
    <w:rsid w:val="002D3DEF"/>
    <w:rsid w:val="002E04A7"/>
    <w:rsid w:val="002E0A4E"/>
    <w:rsid w:val="002E1A08"/>
    <w:rsid w:val="002E50A3"/>
    <w:rsid w:val="002E55AE"/>
    <w:rsid w:val="002F0271"/>
    <w:rsid w:val="002F1979"/>
    <w:rsid w:val="002F2DD7"/>
    <w:rsid w:val="002F6AA2"/>
    <w:rsid w:val="002F6E25"/>
    <w:rsid w:val="00300B22"/>
    <w:rsid w:val="00300CE7"/>
    <w:rsid w:val="0030102B"/>
    <w:rsid w:val="00301D79"/>
    <w:rsid w:val="00302E50"/>
    <w:rsid w:val="0030452E"/>
    <w:rsid w:val="00304873"/>
    <w:rsid w:val="00304C45"/>
    <w:rsid w:val="00305297"/>
    <w:rsid w:val="0030686C"/>
    <w:rsid w:val="00310D8D"/>
    <w:rsid w:val="00313B91"/>
    <w:rsid w:val="0031419E"/>
    <w:rsid w:val="00314920"/>
    <w:rsid w:val="00315123"/>
    <w:rsid w:val="003151E2"/>
    <w:rsid w:val="00315C43"/>
    <w:rsid w:val="00315C62"/>
    <w:rsid w:val="00317674"/>
    <w:rsid w:val="00317BA8"/>
    <w:rsid w:val="0032177B"/>
    <w:rsid w:val="00322495"/>
    <w:rsid w:val="003233B5"/>
    <w:rsid w:val="00323597"/>
    <w:rsid w:val="00323773"/>
    <w:rsid w:val="00324BAE"/>
    <w:rsid w:val="00326393"/>
    <w:rsid w:val="00327449"/>
    <w:rsid w:val="003275ED"/>
    <w:rsid w:val="0033085C"/>
    <w:rsid w:val="003353A9"/>
    <w:rsid w:val="0034103B"/>
    <w:rsid w:val="003412ED"/>
    <w:rsid w:val="00342220"/>
    <w:rsid w:val="00343E4E"/>
    <w:rsid w:val="00345446"/>
    <w:rsid w:val="00345727"/>
    <w:rsid w:val="00345D5C"/>
    <w:rsid w:val="003468B6"/>
    <w:rsid w:val="00347161"/>
    <w:rsid w:val="00347F69"/>
    <w:rsid w:val="00352211"/>
    <w:rsid w:val="00352A79"/>
    <w:rsid w:val="003534A2"/>
    <w:rsid w:val="00354B92"/>
    <w:rsid w:val="00355561"/>
    <w:rsid w:val="003562A5"/>
    <w:rsid w:val="00362B53"/>
    <w:rsid w:val="00363D0E"/>
    <w:rsid w:val="0036484B"/>
    <w:rsid w:val="00365A40"/>
    <w:rsid w:val="00367A81"/>
    <w:rsid w:val="00370969"/>
    <w:rsid w:val="003712A3"/>
    <w:rsid w:val="00371A94"/>
    <w:rsid w:val="00372766"/>
    <w:rsid w:val="0037284B"/>
    <w:rsid w:val="00372B5F"/>
    <w:rsid w:val="0037634B"/>
    <w:rsid w:val="00382D7B"/>
    <w:rsid w:val="00384242"/>
    <w:rsid w:val="00384E01"/>
    <w:rsid w:val="003850E2"/>
    <w:rsid w:val="0038591E"/>
    <w:rsid w:val="00385EB8"/>
    <w:rsid w:val="00387505"/>
    <w:rsid w:val="00390AC3"/>
    <w:rsid w:val="0039173A"/>
    <w:rsid w:val="00391889"/>
    <w:rsid w:val="00391C89"/>
    <w:rsid w:val="00394181"/>
    <w:rsid w:val="00394BB4"/>
    <w:rsid w:val="003950C2"/>
    <w:rsid w:val="003954F3"/>
    <w:rsid w:val="003959E1"/>
    <w:rsid w:val="00396FBE"/>
    <w:rsid w:val="00397E7E"/>
    <w:rsid w:val="003A0AF5"/>
    <w:rsid w:val="003A0C4C"/>
    <w:rsid w:val="003A2910"/>
    <w:rsid w:val="003A2D3B"/>
    <w:rsid w:val="003A5B8C"/>
    <w:rsid w:val="003A5FF8"/>
    <w:rsid w:val="003A6E98"/>
    <w:rsid w:val="003A781F"/>
    <w:rsid w:val="003B0CDB"/>
    <w:rsid w:val="003B1F6F"/>
    <w:rsid w:val="003B585A"/>
    <w:rsid w:val="003B64B7"/>
    <w:rsid w:val="003B7E92"/>
    <w:rsid w:val="003B7F22"/>
    <w:rsid w:val="003C00AA"/>
    <w:rsid w:val="003C071C"/>
    <w:rsid w:val="003C468D"/>
    <w:rsid w:val="003C5CBE"/>
    <w:rsid w:val="003D0A44"/>
    <w:rsid w:val="003D15DC"/>
    <w:rsid w:val="003D174F"/>
    <w:rsid w:val="003D1DE8"/>
    <w:rsid w:val="003D2732"/>
    <w:rsid w:val="003D279F"/>
    <w:rsid w:val="003D2D31"/>
    <w:rsid w:val="003D3BF3"/>
    <w:rsid w:val="003D51D5"/>
    <w:rsid w:val="003D717C"/>
    <w:rsid w:val="003D7D7F"/>
    <w:rsid w:val="003D7F61"/>
    <w:rsid w:val="003E13EE"/>
    <w:rsid w:val="003E3991"/>
    <w:rsid w:val="003E5421"/>
    <w:rsid w:val="003E5A77"/>
    <w:rsid w:val="003E6963"/>
    <w:rsid w:val="003E79F1"/>
    <w:rsid w:val="003F007F"/>
    <w:rsid w:val="003F0A51"/>
    <w:rsid w:val="003F1930"/>
    <w:rsid w:val="003F243C"/>
    <w:rsid w:val="003F2AC5"/>
    <w:rsid w:val="003F2DC5"/>
    <w:rsid w:val="003F4044"/>
    <w:rsid w:val="003F48A5"/>
    <w:rsid w:val="003F52C2"/>
    <w:rsid w:val="003F5F53"/>
    <w:rsid w:val="00400A6A"/>
    <w:rsid w:val="00400D83"/>
    <w:rsid w:val="00401F97"/>
    <w:rsid w:val="004023B8"/>
    <w:rsid w:val="00403C47"/>
    <w:rsid w:val="00404BCC"/>
    <w:rsid w:val="00412A18"/>
    <w:rsid w:val="00413B62"/>
    <w:rsid w:val="0041432B"/>
    <w:rsid w:val="004147DA"/>
    <w:rsid w:val="00415B55"/>
    <w:rsid w:val="00417F10"/>
    <w:rsid w:val="00417FBE"/>
    <w:rsid w:val="00420ECC"/>
    <w:rsid w:val="004235A2"/>
    <w:rsid w:val="00423E75"/>
    <w:rsid w:val="0042403A"/>
    <w:rsid w:val="0042403C"/>
    <w:rsid w:val="0042403D"/>
    <w:rsid w:val="00424B9F"/>
    <w:rsid w:val="00425509"/>
    <w:rsid w:val="00425ACA"/>
    <w:rsid w:val="004265EA"/>
    <w:rsid w:val="004271F2"/>
    <w:rsid w:val="00432FE6"/>
    <w:rsid w:val="0043331A"/>
    <w:rsid w:val="004341B1"/>
    <w:rsid w:val="004342FC"/>
    <w:rsid w:val="00434498"/>
    <w:rsid w:val="00436E2F"/>
    <w:rsid w:val="00437777"/>
    <w:rsid w:val="00437FAA"/>
    <w:rsid w:val="00440541"/>
    <w:rsid w:val="0044114A"/>
    <w:rsid w:val="00441680"/>
    <w:rsid w:val="00442041"/>
    <w:rsid w:val="004426CF"/>
    <w:rsid w:val="00446E72"/>
    <w:rsid w:val="004477C4"/>
    <w:rsid w:val="00450C42"/>
    <w:rsid w:val="004510E2"/>
    <w:rsid w:val="00451EDF"/>
    <w:rsid w:val="00452A0D"/>
    <w:rsid w:val="00453360"/>
    <w:rsid w:val="00454AB1"/>
    <w:rsid w:val="00455D46"/>
    <w:rsid w:val="00456D89"/>
    <w:rsid w:val="00462485"/>
    <w:rsid w:val="00462C17"/>
    <w:rsid w:val="004633DA"/>
    <w:rsid w:val="00463BB6"/>
    <w:rsid w:val="00465074"/>
    <w:rsid w:val="00466B7C"/>
    <w:rsid w:val="00466C86"/>
    <w:rsid w:val="00470855"/>
    <w:rsid w:val="00470F3B"/>
    <w:rsid w:val="004724B8"/>
    <w:rsid w:val="00472E2A"/>
    <w:rsid w:val="00473496"/>
    <w:rsid w:val="00473B9A"/>
    <w:rsid w:val="00474EDC"/>
    <w:rsid w:val="004769B2"/>
    <w:rsid w:val="00477A8E"/>
    <w:rsid w:val="00481769"/>
    <w:rsid w:val="004857D4"/>
    <w:rsid w:val="00485C45"/>
    <w:rsid w:val="00485D0D"/>
    <w:rsid w:val="00486698"/>
    <w:rsid w:val="00490092"/>
    <w:rsid w:val="00492618"/>
    <w:rsid w:val="004935C3"/>
    <w:rsid w:val="004939CD"/>
    <w:rsid w:val="00494325"/>
    <w:rsid w:val="004945D2"/>
    <w:rsid w:val="004948CD"/>
    <w:rsid w:val="00494D17"/>
    <w:rsid w:val="00495020"/>
    <w:rsid w:val="0049704C"/>
    <w:rsid w:val="004A04EF"/>
    <w:rsid w:val="004A0FE6"/>
    <w:rsid w:val="004A10CE"/>
    <w:rsid w:val="004A299A"/>
    <w:rsid w:val="004A3366"/>
    <w:rsid w:val="004A3CD8"/>
    <w:rsid w:val="004A51FB"/>
    <w:rsid w:val="004A5CCC"/>
    <w:rsid w:val="004A6ABA"/>
    <w:rsid w:val="004A7EDF"/>
    <w:rsid w:val="004B0760"/>
    <w:rsid w:val="004B536D"/>
    <w:rsid w:val="004B5E14"/>
    <w:rsid w:val="004B6776"/>
    <w:rsid w:val="004B7674"/>
    <w:rsid w:val="004C10B0"/>
    <w:rsid w:val="004C2EA4"/>
    <w:rsid w:val="004C34BF"/>
    <w:rsid w:val="004C3AEA"/>
    <w:rsid w:val="004C40CA"/>
    <w:rsid w:val="004C464A"/>
    <w:rsid w:val="004C5261"/>
    <w:rsid w:val="004C52B5"/>
    <w:rsid w:val="004C5757"/>
    <w:rsid w:val="004C6191"/>
    <w:rsid w:val="004D259F"/>
    <w:rsid w:val="004D326B"/>
    <w:rsid w:val="004D3843"/>
    <w:rsid w:val="004D4EAD"/>
    <w:rsid w:val="004D6AAF"/>
    <w:rsid w:val="004E0644"/>
    <w:rsid w:val="004E25E1"/>
    <w:rsid w:val="004E3C20"/>
    <w:rsid w:val="004E4712"/>
    <w:rsid w:val="004E51A9"/>
    <w:rsid w:val="004E54D2"/>
    <w:rsid w:val="004E5B72"/>
    <w:rsid w:val="004F00F6"/>
    <w:rsid w:val="004F0297"/>
    <w:rsid w:val="004F1A59"/>
    <w:rsid w:val="004F32F6"/>
    <w:rsid w:val="004F477E"/>
    <w:rsid w:val="004F5B89"/>
    <w:rsid w:val="004F6F02"/>
    <w:rsid w:val="004F7BA5"/>
    <w:rsid w:val="00500757"/>
    <w:rsid w:val="00500DD1"/>
    <w:rsid w:val="005024CB"/>
    <w:rsid w:val="00502576"/>
    <w:rsid w:val="005032E0"/>
    <w:rsid w:val="00503FF8"/>
    <w:rsid w:val="00504805"/>
    <w:rsid w:val="00504D85"/>
    <w:rsid w:val="00505376"/>
    <w:rsid w:val="00505B33"/>
    <w:rsid w:val="005069EB"/>
    <w:rsid w:val="005100E6"/>
    <w:rsid w:val="0051140E"/>
    <w:rsid w:val="005120B6"/>
    <w:rsid w:val="00512C5B"/>
    <w:rsid w:val="00513EAE"/>
    <w:rsid w:val="0051549A"/>
    <w:rsid w:val="00517F50"/>
    <w:rsid w:val="0052143B"/>
    <w:rsid w:val="00521DDE"/>
    <w:rsid w:val="0052525C"/>
    <w:rsid w:val="00525AEB"/>
    <w:rsid w:val="00527B13"/>
    <w:rsid w:val="005331E0"/>
    <w:rsid w:val="00533886"/>
    <w:rsid w:val="005358D0"/>
    <w:rsid w:val="005359C3"/>
    <w:rsid w:val="00535CF1"/>
    <w:rsid w:val="00536D3F"/>
    <w:rsid w:val="005430B9"/>
    <w:rsid w:val="005439CB"/>
    <w:rsid w:val="00544E68"/>
    <w:rsid w:val="005465C9"/>
    <w:rsid w:val="005471DE"/>
    <w:rsid w:val="005508E0"/>
    <w:rsid w:val="005509C0"/>
    <w:rsid w:val="00552DD9"/>
    <w:rsid w:val="00552ECD"/>
    <w:rsid w:val="00553871"/>
    <w:rsid w:val="00553FCC"/>
    <w:rsid w:val="00554C44"/>
    <w:rsid w:val="005566F1"/>
    <w:rsid w:val="00556AB7"/>
    <w:rsid w:val="005576AB"/>
    <w:rsid w:val="005630A2"/>
    <w:rsid w:val="005656A7"/>
    <w:rsid w:val="00567238"/>
    <w:rsid w:val="005742A1"/>
    <w:rsid w:val="00575706"/>
    <w:rsid w:val="00575EC8"/>
    <w:rsid w:val="00577312"/>
    <w:rsid w:val="00580EAB"/>
    <w:rsid w:val="005818FE"/>
    <w:rsid w:val="00582C5E"/>
    <w:rsid w:val="00583208"/>
    <w:rsid w:val="005839FA"/>
    <w:rsid w:val="00583ACD"/>
    <w:rsid w:val="00584D22"/>
    <w:rsid w:val="00584DA1"/>
    <w:rsid w:val="00585023"/>
    <w:rsid w:val="005866EE"/>
    <w:rsid w:val="005878D2"/>
    <w:rsid w:val="00587E2F"/>
    <w:rsid w:val="00591338"/>
    <w:rsid w:val="00592897"/>
    <w:rsid w:val="005928CB"/>
    <w:rsid w:val="005931F7"/>
    <w:rsid w:val="00593D7E"/>
    <w:rsid w:val="0059611E"/>
    <w:rsid w:val="0059683F"/>
    <w:rsid w:val="005A0AC6"/>
    <w:rsid w:val="005A27DB"/>
    <w:rsid w:val="005A29A0"/>
    <w:rsid w:val="005A2A51"/>
    <w:rsid w:val="005A30F0"/>
    <w:rsid w:val="005A432D"/>
    <w:rsid w:val="005A4698"/>
    <w:rsid w:val="005A5173"/>
    <w:rsid w:val="005A77EA"/>
    <w:rsid w:val="005B0A8A"/>
    <w:rsid w:val="005B19B4"/>
    <w:rsid w:val="005B349E"/>
    <w:rsid w:val="005B4140"/>
    <w:rsid w:val="005B5A62"/>
    <w:rsid w:val="005B71B2"/>
    <w:rsid w:val="005C008D"/>
    <w:rsid w:val="005C0187"/>
    <w:rsid w:val="005C28EA"/>
    <w:rsid w:val="005C530C"/>
    <w:rsid w:val="005C5336"/>
    <w:rsid w:val="005C663C"/>
    <w:rsid w:val="005C7DC2"/>
    <w:rsid w:val="005D08AD"/>
    <w:rsid w:val="005D1C69"/>
    <w:rsid w:val="005D1E6A"/>
    <w:rsid w:val="005D1FA6"/>
    <w:rsid w:val="005D2129"/>
    <w:rsid w:val="005D2F13"/>
    <w:rsid w:val="005D3314"/>
    <w:rsid w:val="005D3539"/>
    <w:rsid w:val="005D7ADE"/>
    <w:rsid w:val="005E1D31"/>
    <w:rsid w:val="005E4B22"/>
    <w:rsid w:val="005E5EC7"/>
    <w:rsid w:val="005E5FD4"/>
    <w:rsid w:val="005E6864"/>
    <w:rsid w:val="005F10BD"/>
    <w:rsid w:val="005F2044"/>
    <w:rsid w:val="005F34D1"/>
    <w:rsid w:val="005F3DFC"/>
    <w:rsid w:val="005F3FB3"/>
    <w:rsid w:val="005F3FE7"/>
    <w:rsid w:val="005F5F1A"/>
    <w:rsid w:val="005F6395"/>
    <w:rsid w:val="005F789B"/>
    <w:rsid w:val="00600405"/>
    <w:rsid w:val="0060330F"/>
    <w:rsid w:val="00604F0E"/>
    <w:rsid w:val="00607F93"/>
    <w:rsid w:val="0061266A"/>
    <w:rsid w:val="00613134"/>
    <w:rsid w:val="0062084E"/>
    <w:rsid w:val="006262F3"/>
    <w:rsid w:val="0063020A"/>
    <w:rsid w:val="006329CA"/>
    <w:rsid w:val="0063319E"/>
    <w:rsid w:val="006355D1"/>
    <w:rsid w:val="006355E4"/>
    <w:rsid w:val="00636317"/>
    <w:rsid w:val="006364C8"/>
    <w:rsid w:val="00641631"/>
    <w:rsid w:val="006419AF"/>
    <w:rsid w:val="00641D6F"/>
    <w:rsid w:val="006420A3"/>
    <w:rsid w:val="006421DF"/>
    <w:rsid w:val="00643831"/>
    <w:rsid w:val="00644A8A"/>
    <w:rsid w:val="00644E72"/>
    <w:rsid w:val="00645699"/>
    <w:rsid w:val="0064608B"/>
    <w:rsid w:val="00646941"/>
    <w:rsid w:val="00651ABD"/>
    <w:rsid w:val="00653C9B"/>
    <w:rsid w:val="00653D71"/>
    <w:rsid w:val="006542EA"/>
    <w:rsid w:val="0065743C"/>
    <w:rsid w:val="00657635"/>
    <w:rsid w:val="0066016E"/>
    <w:rsid w:val="006608C2"/>
    <w:rsid w:val="00661778"/>
    <w:rsid w:val="00661823"/>
    <w:rsid w:val="00661FF1"/>
    <w:rsid w:val="006645C7"/>
    <w:rsid w:val="00667DD3"/>
    <w:rsid w:val="006715AA"/>
    <w:rsid w:val="006741D0"/>
    <w:rsid w:val="00676247"/>
    <w:rsid w:val="00682D57"/>
    <w:rsid w:val="00682E96"/>
    <w:rsid w:val="00683AC5"/>
    <w:rsid w:val="006857D6"/>
    <w:rsid w:val="00690B33"/>
    <w:rsid w:val="006914F2"/>
    <w:rsid w:val="00694E96"/>
    <w:rsid w:val="006956B2"/>
    <w:rsid w:val="00697BE5"/>
    <w:rsid w:val="00697DC5"/>
    <w:rsid w:val="006A00CE"/>
    <w:rsid w:val="006A1454"/>
    <w:rsid w:val="006A1651"/>
    <w:rsid w:val="006A173B"/>
    <w:rsid w:val="006A1D29"/>
    <w:rsid w:val="006A20C3"/>
    <w:rsid w:val="006A304A"/>
    <w:rsid w:val="006A4AFC"/>
    <w:rsid w:val="006A540F"/>
    <w:rsid w:val="006A7DF3"/>
    <w:rsid w:val="006B20BC"/>
    <w:rsid w:val="006B2C1C"/>
    <w:rsid w:val="006B4871"/>
    <w:rsid w:val="006B4CFE"/>
    <w:rsid w:val="006B680E"/>
    <w:rsid w:val="006B6912"/>
    <w:rsid w:val="006C1A83"/>
    <w:rsid w:val="006C3E5B"/>
    <w:rsid w:val="006C408E"/>
    <w:rsid w:val="006C468F"/>
    <w:rsid w:val="006C7252"/>
    <w:rsid w:val="006D0E35"/>
    <w:rsid w:val="006D1975"/>
    <w:rsid w:val="006D1CD3"/>
    <w:rsid w:val="006D7FCD"/>
    <w:rsid w:val="006E04A8"/>
    <w:rsid w:val="006E163A"/>
    <w:rsid w:val="006E1F1B"/>
    <w:rsid w:val="006E55F3"/>
    <w:rsid w:val="006E68EE"/>
    <w:rsid w:val="006E7E27"/>
    <w:rsid w:val="006F0527"/>
    <w:rsid w:val="006F0B33"/>
    <w:rsid w:val="006F12D9"/>
    <w:rsid w:val="006F3144"/>
    <w:rsid w:val="006F324F"/>
    <w:rsid w:val="006F38A2"/>
    <w:rsid w:val="006F3DB4"/>
    <w:rsid w:val="006F52D7"/>
    <w:rsid w:val="006F5D87"/>
    <w:rsid w:val="006F6F45"/>
    <w:rsid w:val="006F7BC9"/>
    <w:rsid w:val="006F7BFF"/>
    <w:rsid w:val="006F7C29"/>
    <w:rsid w:val="00700413"/>
    <w:rsid w:val="00701355"/>
    <w:rsid w:val="0070182D"/>
    <w:rsid w:val="00702E13"/>
    <w:rsid w:val="007071DD"/>
    <w:rsid w:val="00710E26"/>
    <w:rsid w:val="00711D1D"/>
    <w:rsid w:val="007140F7"/>
    <w:rsid w:val="007152B7"/>
    <w:rsid w:val="00715493"/>
    <w:rsid w:val="007156EB"/>
    <w:rsid w:val="0071619F"/>
    <w:rsid w:val="00716586"/>
    <w:rsid w:val="007173C7"/>
    <w:rsid w:val="00720159"/>
    <w:rsid w:val="00720373"/>
    <w:rsid w:val="00724444"/>
    <w:rsid w:val="007256A0"/>
    <w:rsid w:val="007256D6"/>
    <w:rsid w:val="00725D19"/>
    <w:rsid w:val="00726676"/>
    <w:rsid w:val="007274EC"/>
    <w:rsid w:val="00727882"/>
    <w:rsid w:val="00727945"/>
    <w:rsid w:val="00727A89"/>
    <w:rsid w:val="007303B0"/>
    <w:rsid w:val="007308E5"/>
    <w:rsid w:val="007319F9"/>
    <w:rsid w:val="0073306A"/>
    <w:rsid w:val="00733F72"/>
    <w:rsid w:val="00735A19"/>
    <w:rsid w:val="00740728"/>
    <w:rsid w:val="00740FB5"/>
    <w:rsid w:val="00741734"/>
    <w:rsid w:val="007421C2"/>
    <w:rsid w:val="0074223E"/>
    <w:rsid w:val="00744903"/>
    <w:rsid w:val="007453AC"/>
    <w:rsid w:val="00746122"/>
    <w:rsid w:val="0074636C"/>
    <w:rsid w:val="0074663B"/>
    <w:rsid w:val="00750915"/>
    <w:rsid w:val="00751083"/>
    <w:rsid w:val="00751EEF"/>
    <w:rsid w:val="00751F61"/>
    <w:rsid w:val="00753267"/>
    <w:rsid w:val="00753E2C"/>
    <w:rsid w:val="00757E20"/>
    <w:rsid w:val="00760463"/>
    <w:rsid w:val="00763994"/>
    <w:rsid w:val="00764779"/>
    <w:rsid w:val="00764BCD"/>
    <w:rsid w:val="00767FE4"/>
    <w:rsid w:val="0077050D"/>
    <w:rsid w:val="0077223C"/>
    <w:rsid w:val="007729B0"/>
    <w:rsid w:val="007751F8"/>
    <w:rsid w:val="00775859"/>
    <w:rsid w:val="00775E6F"/>
    <w:rsid w:val="00781B4C"/>
    <w:rsid w:val="00782FA1"/>
    <w:rsid w:val="00783133"/>
    <w:rsid w:val="007836B3"/>
    <w:rsid w:val="0078480A"/>
    <w:rsid w:val="00786077"/>
    <w:rsid w:val="0078744B"/>
    <w:rsid w:val="007902B8"/>
    <w:rsid w:val="00796CD9"/>
    <w:rsid w:val="00796F39"/>
    <w:rsid w:val="007A0608"/>
    <w:rsid w:val="007A1E4D"/>
    <w:rsid w:val="007A246D"/>
    <w:rsid w:val="007A3B66"/>
    <w:rsid w:val="007A6E28"/>
    <w:rsid w:val="007B27BF"/>
    <w:rsid w:val="007B3D9C"/>
    <w:rsid w:val="007B5559"/>
    <w:rsid w:val="007B5B1E"/>
    <w:rsid w:val="007B6E5C"/>
    <w:rsid w:val="007B6EF6"/>
    <w:rsid w:val="007C095B"/>
    <w:rsid w:val="007C184C"/>
    <w:rsid w:val="007C1E9D"/>
    <w:rsid w:val="007C24EA"/>
    <w:rsid w:val="007C269A"/>
    <w:rsid w:val="007C3442"/>
    <w:rsid w:val="007C4F95"/>
    <w:rsid w:val="007C7D48"/>
    <w:rsid w:val="007D014C"/>
    <w:rsid w:val="007D066B"/>
    <w:rsid w:val="007D0DFB"/>
    <w:rsid w:val="007D16E9"/>
    <w:rsid w:val="007D2DFA"/>
    <w:rsid w:val="007D321F"/>
    <w:rsid w:val="007D4A5E"/>
    <w:rsid w:val="007D5EF7"/>
    <w:rsid w:val="007D6002"/>
    <w:rsid w:val="007D777F"/>
    <w:rsid w:val="007D7CEA"/>
    <w:rsid w:val="007E0351"/>
    <w:rsid w:val="007E08D5"/>
    <w:rsid w:val="007E3022"/>
    <w:rsid w:val="007E43CF"/>
    <w:rsid w:val="007E43EF"/>
    <w:rsid w:val="007E5954"/>
    <w:rsid w:val="007E7203"/>
    <w:rsid w:val="007E7D41"/>
    <w:rsid w:val="007F0BDA"/>
    <w:rsid w:val="007F0C0C"/>
    <w:rsid w:val="007F111C"/>
    <w:rsid w:val="007F1C35"/>
    <w:rsid w:val="007F2B82"/>
    <w:rsid w:val="007F39AC"/>
    <w:rsid w:val="007F5983"/>
    <w:rsid w:val="007F689F"/>
    <w:rsid w:val="008002DC"/>
    <w:rsid w:val="008010F2"/>
    <w:rsid w:val="0080291B"/>
    <w:rsid w:val="00802D9D"/>
    <w:rsid w:val="00802DA0"/>
    <w:rsid w:val="008031D5"/>
    <w:rsid w:val="008037D6"/>
    <w:rsid w:val="00803DC5"/>
    <w:rsid w:val="0080521C"/>
    <w:rsid w:val="008054D9"/>
    <w:rsid w:val="008057CC"/>
    <w:rsid w:val="00805B0C"/>
    <w:rsid w:val="00805EB9"/>
    <w:rsid w:val="008060CC"/>
    <w:rsid w:val="00806ACF"/>
    <w:rsid w:val="00806FB1"/>
    <w:rsid w:val="00807F4A"/>
    <w:rsid w:val="00810DB7"/>
    <w:rsid w:val="0081222C"/>
    <w:rsid w:val="008139C6"/>
    <w:rsid w:val="00813B32"/>
    <w:rsid w:val="00813B45"/>
    <w:rsid w:val="0081403B"/>
    <w:rsid w:val="008149A7"/>
    <w:rsid w:val="008153D9"/>
    <w:rsid w:val="008154CB"/>
    <w:rsid w:val="008159F0"/>
    <w:rsid w:val="00815D71"/>
    <w:rsid w:val="00816DEE"/>
    <w:rsid w:val="0081722E"/>
    <w:rsid w:val="008179FF"/>
    <w:rsid w:val="00822E45"/>
    <w:rsid w:val="00825139"/>
    <w:rsid w:val="00826024"/>
    <w:rsid w:val="008266EC"/>
    <w:rsid w:val="00830C12"/>
    <w:rsid w:val="00831ADD"/>
    <w:rsid w:val="00831B9C"/>
    <w:rsid w:val="008339E1"/>
    <w:rsid w:val="00836141"/>
    <w:rsid w:val="00836858"/>
    <w:rsid w:val="00836D54"/>
    <w:rsid w:val="00840936"/>
    <w:rsid w:val="008418A8"/>
    <w:rsid w:val="0084209D"/>
    <w:rsid w:val="00842561"/>
    <w:rsid w:val="008429AB"/>
    <w:rsid w:val="008439D6"/>
    <w:rsid w:val="008440E8"/>
    <w:rsid w:val="0084525B"/>
    <w:rsid w:val="00846864"/>
    <w:rsid w:val="00852521"/>
    <w:rsid w:val="00853135"/>
    <w:rsid w:val="00853FD2"/>
    <w:rsid w:val="008547B8"/>
    <w:rsid w:val="00854BFB"/>
    <w:rsid w:val="00855236"/>
    <w:rsid w:val="0085548A"/>
    <w:rsid w:val="00856F14"/>
    <w:rsid w:val="008577A4"/>
    <w:rsid w:val="00860064"/>
    <w:rsid w:val="008606A4"/>
    <w:rsid w:val="00860DDC"/>
    <w:rsid w:val="008629B5"/>
    <w:rsid w:val="00863711"/>
    <w:rsid w:val="00863EEC"/>
    <w:rsid w:val="008646CD"/>
    <w:rsid w:val="0086477F"/>
    <w:rsid w:val="00864FAE"/>
    <w:rsid w:val="00865BB8"/>
    <w:rsid w:val="00867FB7"/>
    <w:rsid w:val="00875065"/>
    <w:rsid w:val="0087513F"/>
    <w:rsid w:val="00875415"/>
    <w:rsid w:val="008772DB"/>
    <w:rsid w:val="008775AD"/>
    <w:rsid w:val="0088079D"/>
    <w:rsid w:val="00883F24"/>
    <w:rsid w:val="008842B2"/>
    <w:rsid w:val="008854A1"/>
    <w:rsid w:val="00886CCC"/>
    <w:rsid w:val="00887379"/>
    <w:rsid w:val="00887B36"/>
    <w:rsid w:val="008906AF"/>
    <w:rsid w:val="00891225"/>
    <w:rsid w:val="00892254"/>
    <w:rsid w:val="008935D9"/>
    <w:rsid w:val="008A0FBA"/>
    <w:rsid w:val="008A3BE7"/>
    <w:rsid w:val="008A403B"/>
    <w:rsid w:val="008A4C5F"/>
    <w:rsid w:val="008A53D2"/>
    <w:rsid w:val="008A60DD"/>
    <w:rsid w:val="008A6A68"/>
    <w:rsid w:val="008A756B"/>
    <w:rsid w:val="008B02D7"/>
    <w:rsid w:val="008B2732"/>
    <w:rsid w:val="008B2C91"/>
    <w:rsid w:val="008B584D"/>
    <w:rsid w:val="008B613E"/>
    <w:rsid w:val="008B669B"/>
    <w:rsid w:val="008B7A46"/>
    <w:rsid w:val="008C0694"/>
    <w:rsid w:val="008C0A98"/>
    <w:rsid w:val="008C1018"/>
    <w:rsid w:val="008C31DE"/>
    <w:rsid w:val="008C4728"/>
    <w:rsid w:val="008C4B58"/>
    <w:rsid w:val="008C60F1"/>
    <w:rsid w:val="008C7B12"/>
    <w:rsid w:val="008D1B49"/>
    <w:rsid w:val="008D479E"/>
    <w:rsid w:val="008D4B77"/>
    <w:rsid w:val="008D4D22"/>
    <w:rsid w:val="008D54EC"/>
    <w:rsid w:val="008D6BDD"/>
    <w:rsid w:val="008D74BF"/>
    <w:rsid w:val="008D7E62"/>
    <w:rsid w:val="008E1829"/>
    <w:rsid w:val="008E1A32"/>
    <w:rsid w:val="008E2CA3"/>
    <w:rsid w:val="008E49D2"/>
    <w:rsid w:val="008E5D1C"/>
    <w:rsid w:val="008E6508"/>
    <w:rsid w:val="008E69DC"/>
    <w:rsid w:val="008F07F8"/>
    <w:rsid w:val="008F0F39"/>
    <w:rsid w:val="008F225E"/>
    <w:rsid w:val="008F5A44"/>
    <w:rsid w:val="008F6A44"/>
    <w:rsid w:val="008F7DDC"/>
    <w:rsid w:val="00900AF9"/>
    <w:rsid w:val="00903E3F"/>
    <w:rsid w:val="00903FB6"/>
    <w:rsid w:val="00904AE0"/>
    <w:rsid w:val="00905F98"/>
    <w:rsid w:val="009065ED"/>
    <w:rsid w:val="00906A7D"/>
    <w:rsid w:val="00907330"/>
    <w:rsid w:val="00911A28"/>
    <w:rsid w:val="009127E7"/>
    <w:rsid w:val="0091325B"/>
    <w:rsid w:val="00913D95"/>
    <w:rsid w:val="00916410"/>
    <w:rsid w:val="00920BDD"/>
    <w:rsid w:val="009219A7"/>
    <w:rsid w:val="00922CC5"/>
    <w:rsid w:val="00922EF8"/>
    <w:rsid w:val="00923291"/>
    <w:rsid w:val="009235FD"/>
    <w:rsid w:val="00924005"/>
    <w:rsid w:val="00924290"/>
    <w:rsid w:val="00924E10"/>
    <w:rsid w:val="0092628F"/>
    <w:rsid w:val="009269E8"/>
    <w:rsid w:val="00926C19"/>
    <w:rsid w:val="00927B31"/>
    <w:rsid w:val="009313CD"/>
    <w:rsid w:val="00932739"/>
    <w:rsid w:val="00932B68"/>
    <w:rsid w:val="00932DA8"/>
    <w:rsid w:val="0093343B"/>
    <w:rsid w:val="009334D8"/>
    <w:rsid w:val="00934954"/>
    <w:rsid w:val="00937EA3"/>
    <w:rsid w:val="00940856"/>
    <w:rsid w:val="009409BC"/>
    <w:rsid w:val="00942036"/>
    <w:rsid w:val="00942D42"/>
    <w:rsid w:val="00943B24"/>
    <w:rsid w:val="00943D90"/>
    <w:rsid w:val="00943E64"/>
    <w:rsid w:val="00944E37"/>
    <w:rsid w:val="009450CA"/>
    <w:rsid w:val="00945865"/>
    <w:rsid w:val="00945A7A"/>
    <w:rsid w:val="00947ABD"/>
    <w:rsid w:val="00947C2F"/>
    <w:rsid w:val="00947D78"/>
    <w:rsid w:val="0095034D"/>
    <w:rsid w:val="009503A0"/>
    <w:rsid w:val="00950A3B"/>
    <w:rsid w:val="009515CE"/>
    <w:rsid w:val="00951E23"/>
    <w:rsid w:val="00952082"/>
    <w:rsid w:val="009534C9"/>
    <w:rsid w:val="00954A7E"/>
    <w:rsid w:val="00955479"/>
    <w:rsid w:val="00955687"/>
    <w:rsid w:val="009565D8"/>
    <w:rsid w:val="0095753A"/>
    <w:rsid w:val="00957F36"/>
    <w:rsid w:val="009616CD"/>
    <w:rsid w:val="00962161"/>
    <w:rsid w:val="00962576"/>
    <w:rsid w:val="00962981"/>
    <w:rsid w:val="00965F32"/>
    <w:rsid w:val="00966381"/>
    <w:rsid w:val="00966D8B"/>
    <w:rsid w:val="00973331"/>
    <w:rsid w:val="00975C71"/>
    <w:rsid w:val="009771D9"/>
    <w:rsid w:val="009774E9"/>
    <w:rsid w:val="0098097F"/>
    <w:rsid w:val="009836A1"/>
    <w:rsid w:val="00983F61"/>
    <w:rsid w:val="009859FA"/>
    <w:rsid w:val="00985DD4"/>
    <w:rsid w:val="00990830"/>
    <w:rsid w:val="009911FC"/>
    <w:rsid w:val="00991789"/>
    <w:rsid w:val="00994FB9"/>
    <w:rsid w:val="00995E78"/>
    <w:rsid w:val="009A0191"/>
    <w:rsid w:val="009A029C"/>
    <w:rsid w:val="009A0908"/>
    <w:rsid w:val="009A0C4A"/>
    <w:rsid w:val="009A190E"/>
    <w:rsid w:val="009A3149"/>
    <w:rsid w:val="009A34C9"/>
    <w:rsid w:val="009A35C5"/>
    <w:rsid w:val="009A3C6B"/>
    <w:rsid w:val="009A556B"/>
    <w:rsid w:val="009A7732"/>
    <w:rsid w:val="009B1A60"/>
    <w:rsid w:val="009B1E27"/>
    <w:rsid w:val="009B1F33"/>
    <w:rsid w:val="009B25C8"/>
    <w:rsid w:val="009B487F"/>
    <w:rsid w:val="009B60C6"/>
    <w:rsid w:val="009B7FA1"/>
    <w:rsid w:val="009C07B4"/>
    <w:rsid w:val="009C4A31"/>
    <w:rsid w:val="009C5FEF"/>
    <w:rsid w:val="009C7BBE"/>
    <w:rsid w:val="009D07A8"/>
    <w:rsid w:val="009D4001"/>
    <w:rsid w:val="009D4240"/>
    <w:rsid w:val="009D4526"/>
    <w:rsid w:val="009D5B26"/>
    <w:rsid w:val="009D6392"/>
    <w:rsid w:val="009D6D3A"/>
    <w:rsid w:val="009E0140"/>
    <w:rsid w:val="009E1001"/>
    <w:rsid w:val="009E1BFE"/>
    <w:rsid w:val="009E2B5A"/>
    <w:rsid w:val="009E4923"/>
    <w:rsid w:val="009E4A84"/>
    <w:rsid w:val="009E53CE"/>
    <w:rsid w:val="009E71D9"/>
    <w:rsid w:val="009E7FC5"/>
    <w:rsid w:val="009F166F"/>
    <w:rsid w:val="009F1E3E"/>
    <w:rsid w:val="009F2DB2"/>
    <w:rsid w:val="009F3626"/>
    <w:rsid w:val="009F45E8"/>
    <w:rsid w:val="009F4C7A"/>
    <w:rsid w:val="009F543B"/>
    <w:rsid w:val="009F55DF"/>
    <w:rsid w:val="009F5D1F"/>
    <w:rsid w:val="009F7225"/>
    <w:rsid w:val="009F748C"/>
    <w:rsid w:val="00A00617"/>
    <w:rsid w:val="00A01521"/>
    <w:rsid w:val="00A0286C"/>
    <w:rsid w:val="00A040D6"/>
    <w:rsid w:val="00A043FB"/>
    <w:rsid w:val="00A0546C"/>
    <w:rsid w:val="00A05573"/>
    <w:rsid w:val="00A0671D"/>
    <w:rsid w:val="00A06969"/>
    <w:rsid w:val="00A075E8"/>
    <w:rsid w:val="00A121D8"/>
    <w:rsid w:val="00A12EF0"/>
    <w:rsid w:val="00A149B3"/>
    <w:rsid w:val="00A156B1"/>
    <w:rsid w:val="00A16E8D"/>
    <w:rsid w:val="00A21DE3"/>
    <w:rsid w:val="00A222B9"/>
    <w:rsid w:val="00A22AAE"/>
    <w:rsid w:val="00A245FB"/>
    <w:rsid w:val="00A2524C"/>
    <w:rsid w:val="00A26071"/>
    <w:rsid w:val="00A266B2"/>
    <w:rsid w:val="00A2761F"/>
    <w:rsid w:val="00A279D5"/>
    <w:rsid w:val="00A30907"/>
    <w:rsid w:val="00A31E60"/>
    <w:rsid w:val="00A3209E"/>
    <w:rsid w:val="00A32EBE"/>
    <w:rsid w:val="00A33299"/>
    <w:rsid w:val="00A355FD"/>
    <w:rsid w:val="00A375B0"/>
    <w:rsid w:val="00A376E2"/>
    <w:rsid w:val="00A37921"/>
    <w:rsid w:val="00A37C1C"/>
    <w:rsid w:val="00A4003E"/>
    <w:rsid w:val="00A4111D"/>
    <w:rsid w:val="00A41D7D"/>
    <w:rsid w:val="00A422B5"/>
    <w:rsid w:val="00A44A83"/>
    <w:rsid w:val="00A44C41"/>
    <w:rsid w:val="00A47658"/>
    <w:rsid w:val="00A52351"/>
    <w:rsid w:val="00A532A9"/>
    <w:rsid w:val="00A53A69"/>
    <w:rsid w:val="00A549AB"/>
    <w:rsid w:val="00A54DC1"/>
    <w:rsid w:val="00A55DC4"/>
    <w:rsid w:val="00A55EB7"/>
    <w:rsid w:val="00A57013"/>
    <w:rsid w:val="00A60794"/>
    <w:rsid w:val="00A618CD"/>
    <w:rsid w:val="00A6195F"/>
    <w:rsid w:val="00A61D4F"/>
    <w:rsid w:val="00A6298C"/>
    <w:rsid w:val="00A63496"/>
    <w:rsid w:val="00A706AD"/>
    <w:rsid w:val="00A70E74"/>
    <w:rsid w:val="00A7141C"/>
    <w:rsid w:val="00A71CD2"/>
    <w:rsid w:val="00A72337"/>
    <w:rsid w:val="00A76803"/>
    <w:rsid w:val="00A77170"/>
    <w:rsid w:val="00A81AF8"/>
    <w:rsid w:val="00A821A2"/>
    <w:rsid w:val="00A84507"/>
    <w:rsid w:val="00A8619A"/>
    <w:rsid w:val="00A86739"/>
    <w:rsid w:val="00A91DE3"/>
    <w:rsid w:val="00A937EF"/>
    <w:rsid w:val="00A94B9B"/>
    <w:rsid w:val="00A9567E"/>
    <w:rsid w:val="00A96188"/>
    <w:rsid w:val="00A97BD4"/>
    <w:rsid w:val="00AA0462"/>
    <w:rsid w:val="00AA09C1"/>
    <w:rsid w:val="00AA20B3"/>
    <w:rsid w:val="00AA262A"/>
    <w:rsid w:val="00AA32ED"/>
    <w:rsid w:val="00AA4D18"/>
    <w:rsid w:val="00AA5984"/>
    <w:rsid w:val="00AA6F78"/>
    <w:rsid w:val="00AB1F45"/>
    <w:rsid w:val="00AB295E"/>
    <w:rsid w:val="00AB2B5F"/>
    <w:rsid w:val="00AB2C97"/>
    <w:rsid w:val="00AB3136"/>
    <w:rsid w:val="00AB501C"/>
    <w:rsid w:val="00AB5099"/>
    <w:rsid w:val="00AB50A7"/>
    <w:rsid w:val="00AB5C93"/>
    <w:rsid w:val="00AB7311"/>
    <w:rsid w:val="00AC03C6"/>
    <w:rsid w:val="00AC15FA"/>
    <w:rsid w:val="00AC3C5A"/>
    <w:rsid w:val="00AC459D"/>
    <w:rsid w:val="00AC4A16"/>
    <w:rsid w:val="00AC50CF"/>
    <w:rsid w:val="00AC773F"/>
    <w:rsid w:val="00AC78CB"/>
    <w:rsid w:val="00AC794B"/>
    <w:rsid w:val="00AD06C3"/>
    <w:rsid w:val="00AD14D1"/>
    <w:rsid w:val="00AD3FA6"/>
    <w:rsid w:val="00AD4B63"/>
    <w:rsid w:val="00AD5508"/>
    <w:rsid w:val="00AD5D17"/>
    <w:rsid w:val="00AD5FF0"/>
    <w:rsid w:val="00AD6358"/>
    <w:rsid w:val="00AD6A59"/>
    <w:rsid w:val="00AE07D0"/>
    <w:rsid w:val="00AE4A88"/>
    <w:rsid w:val="00AE4D43"/>
    <w:rsid w:val="00AE4F09"/>
    <w:rsid w:val="00AE570F"/>
    <w:rsid w:val="00AE594D"/>
    <w:rsid w:val="00AE757F"/>
    <w:rsid w:val="00AF24BF"/>
    <w:rsid w:val="00AF25E1"/>
    <w:rsid w:val="00AF2F13"/>
    <w:rsid w:val="00AF3020"/>
    <w:rsid w:val="00AF40E8"/>
    <w:rsid w:val="00AF4B64"/>
    <w:rsid w:val="00AF5E7B"/>
    <w:rsid w:val="00B00699"/>
    <w:rsid w:val="00B007E6"/>
    <w:rsid w:val="00B011FB"/>
    <w:rsid w:val="00B05CE2"/>
    <w:rsid w:val="00B06BFB"/>
    <w:rsid w:val="00B078CA"/>
    <w:rsid w:val="00B10276"/>
    <w:rsid w:val="00B1068E"/>
    <w:rsid w:val="00B11BCA"/>
    <w:rsid w:val="00B1299B"/>
    <w:rsid w:val="00B1446B"/>
    <w:rsid w:val="00B14D73"/>
    <w:rsid w:val="00B16266"/>
    <w:rsid w:val="00B16B2D"/>
    <w:rsid w:val="00B17AC5"/>
    <w:rsid w:val="00B210A1"/>
    <w:rsid w:val="00B2464E"/>
    <w:rsid w:val="00B30FF5"/>
    <w:rsid w:val="00B33529"/>
    <w:rsid w:val="00B34F17"/>
    <w:rsid w:val="00B3553F"/>
    <w:rsid w:val="00B35831"/>
    <w:rsid w:val="00B40E28"/>
    <w:rsid w:val="00B40FFB"/>
    <w:rsid w:val="00B44DE8"/>
    <w:rsid w:val="00B45728"/>
    <w:rsid w:val="00B46D5E"/>
    <w:rsid w:val="00B46E1C"/>
    <w:rsid w:val="00B47D43"/>
    <w:rsid w:val="00B47F68"/>
    <w:rsid w:val="00B5079E"/>
    <w:rsid w:val="00B52AD9"/>
    <w:rsid w:val="00B52E6D"/>
    <w:rsid w:val="00B54697"/>
    <w:rsid w:val="00B54AAD"/>
    <w:rsid w:val="00B5501A"/>
    <w:rsid w:val="00B5527D"/>
    <w:rsid w:val="00B56416"/>
    <w:rsid w:val="00B57E97"/>
    <w:rsid w:val="00B609BA"/>
    <w:rsid w:val="00B60F61"/>
    <w:rsid w:val="00B61AF0"/>
    <w:rsid w:val="00B646EC"/>
    <w:rsid w:val="00B6535B"/>
    <w:rsid w:val="00B65482"/>
    <w:rsid w:val="00B65657"/>
    <w:rsid w:val="00B656A8"/>
    <w:rsid w:val="00B658E1"/>
    <w:rsid w:val="00B662E4"/>
    <w:rsid w:val="00B66773"/>
    <w:rsid w:val="00B6677F"/>
    <w:rsid w:val="00B66F34"/>
    <w:rsid w:val="00B67289"/>
    <w:rsid w:val="00B703C6"/>
    <w:rsid w:val="00B77162"/>
    <w:rsid w:val="00B7769A"/>
    <w:rsid w:val="00B77A6B"/>
    <w:rsid w:val="00B80505"/>
    <w:rsid w:val="00B814DA"/>
    <w:rsid w:val="00B8361D"/>
    <w:rsid w:val="00B86C87"/>
    <w:rsid w:val="00B87B21"/>
    <w:rsid w:val="00B87CBC"/>
    <w:rsid w:val="00B90D2C"/>
    <w:rsid w:val="00B94254"/>
    <w:rsid w:val="00B94864"/>
    <w:rsid w:val="00B94AC1"/>
    <w:rsid w:val="00B95043"/>
    <w:rsid w:val="00B9676E"/>
    <w:rsid w:val="00BA1006"/>
    <w:rsid w:val="00BA12AC"/>
    <w:rsid w:val="00BA136A"/>
    <w:rsid w:val="00BA43B5"/>
    <w:rsid w:val="00BA6B4A"/>
    <w:rsid w:val="00BB194F"/>
    <w:rsid w:val="00BB3418"/>
    <w:rsid w:val="00BB3A63"/>
    <w:rsid w:val="00BB439D"/>
    <w:rsid w:val="00BB4658"/>
    <w:rsid w:val="00BB75A0"/>
    <w:rsid w:val="00BB7E5C"/>
    <w:rsid w:val="00BC0896"/>
    <w:rsid w:val="00BC255D"/>
    <w:rsid w:val="00BC31E1"/>
    <w:rsid w:val="00BC3508"/>
    <w:rsid w:val="00BC3E8B"/>
    <w:rsid w:val="00BC595D"/>
    <w:rsid w:val="00BC72BD"/>
    <w:rsid w:val="00BC794F"/>
    <w:rsid w:val="00BD1ECF"/>
    <w:rsid w:val="00BD3D0E"/>
    <w:rsid w:val="00BD4F49"/>
    <w:rsid w:val="00BD7AED"/>
    <w:rsid w:val="00BE301A"/>
    <w:rsid w:val="00BE47E9"/>
    <w:rsid w:val="00BE4FAA"/>
    <w:rsid w:val="00BE5877"/>
    <w:rsid w:val="00BE6BB7"/>
    <w:rsid w:val="00BE7418"/>
    <w:rsid w:val="00BE752F"/>
    <w:rsid w:val="00BE7EA6"/>
    <w:rsid w:val="00BF1270"/>
    <w:rsid w:val="00BF485C"/>
    <w:rsid w:val="00BF565D"/>
    <w:rsid w:val="00BF61C0"/>
    <w:rsid w:val="00C0178D"/>
    <w:rsid w:val="00C01992"/>
    <w:rsid w:val="00C0313A"/>
    <w:rsid w:val="00C043B6"/>
    <w:rsid w:val="00C07B2F"/>
    <w:rsid w:val="00C10951"/>
    <w:rsid w:val="00C10BB7"/>
    <w:rsid w:val="00C12A3E"/>
    <w:rsid w:val="00C133D9"/>
    <w:rsid w:val="00C13604"/>
    <w:rsid w:val="00C141B3"/>
    <w:rsid w:val="00C148F1"/>
    <w:rsid w:val="00C15C7B"/>
    <w:rsid w:val="00C15F3C"/>
    <w:rsid w:val="00C16EEE"/>
    <w:rsid w:val="00C172E2"/>
    <w:rsid w:val="00C17A4F"/>
    <w:rsid w:val="00C17D78"/>
    <w:rsid w:val="00C17F07"/>
    <w:rsid w:val="00C208C5"/>
    <w:rsid w:val="00C212DA"/>
    <w:rsid w:val="00C22515"/>
    <w:rsid w:val="00C23251"/>
    <w:rsid w:val="00C24948"/>
    <w:rsid w:val="00C25042"/>
    <w:rsid w:val="00C278C0"/>
    <w:rsid w:val="00C30714"/>
    <w:rsid w:val="00C31197"/>
    <w:rsid w:val="00C319F6"/>
    <w:rsid w:val="00C32246"/>
    <w:rsid w:val="00C3318A"/>
    <w:rsid w:val="00C444ED"/>
    <w:rsid w:val="00C44801"/>
    <w:rsid w:val="00C46029"/>
    <w:rsid w:val="00C462AE"/>
    <w:rsid w:val="00C46CAA"/>
    <w:rsid w:val="00C548AA"/>
    <w:rsid w:val="00C551C7"/>
    <w:rsid w:val="00C558A2"/>
    <w:rsid w:val="00C5697F"/>
    <w:rsid w:val="00C57611"/>
    <w:rsid w:val="00C57F02"/>
    <w:rsid w:val="00C609FE"/>
    <w:rsid w:val="00C60BC5"/>
    <w:rsid w:val="00C618C9"/>
    <w:rsid w:val="00C630B2"/>
    <w:rsid w:val="00C63D36"/>
    <w:rsid w:val="00C648B7"/>
    <w:rsid w:val="00C668D8"/>
    <w:rsid w:val="00C67D70"/>
    <w:rsid w:val="00C7170A"/>
    <w:rsid w:val="00C717CE"/>
    <w:rsid w:val="00C73116"/>
    <w:rsid w:val="00C7366C"/>
    <w:rsid w:val="00C74171"/>
    <w:rsid w:val="00C76493"/>
    <w:rsid w:val="00C77090"/>
    <w:rsid w:val="00C8065F"/>
    <w:rsid w:val="00C80F66"/>
    <w:rsid w:val="00C81127"/>
    <w:rsid w:val="00C81234"/>
    <w:rsid w:val="00C824A1"/>
    <w:rsid w:val="00C82849"/>
    <w:rsid w:val="00C84669"/>
    <w:rsid w:val="00C84AFA"/>
    <w:rsid w:val="00C85533"/>
    <w:rsid w:val="00C8592E"/>
    <w:rsid w:val="00C87013"/>
    <w:rsid w:val="00C90D7C"/>
    <w:rsid w:val="00C913F4"/>
    <w:rsid w:val="00C9290A"/>
    <w:rsid w:val="00C92B28"/>
    <w:rsid w:val="00C93E96"/>
    <w:rsid w:val="00C94B87"/>
    <w:rsid w:val="00C94C5E"/>
    <w:rsid w:val="00C95BD9"/>
    <w:rsid w:val="00C9679D"/>
    <w:rsid w:val="00C978C0"/>
    <w:rsid w:val="00C97AA8"/>
    <w:rsid w:val="00C97E87"/>
    <w:rsid w:val="00CA2759"/>
    <w:rsid w:val="00CA38CA"/>
    <w:rsid w:val="00CA3E17"/>
    <w:rsid w:val="00CA449E"/>
    <w:rsid w:val="00CA6EA2"/>
    <w:rsid w:val="00CA7661"/>
    <w:rsid w:val="00CB234B"/>
    <w:rsid w:val="00CB2590"/>
    <w:rsid w:val="00CB6662"/>
    <w:rsid w:val="00CB72DF"/>
    <w:rsid w:val="00CB7A95"/>
    <w:rsid w:val="00CC5B1A"/>
    <w:rsid w:val="00CC5C28"/>
    <w:rsid w:val="00CC7C7E"/>
    <w:rsid w:val="00CD024E"/>
    <w:rsid w:val="00CD1DBB"/>
    <w:rsid w:val="00CD2F18"/>
    <w:rsid w:val="00CD43C0"/>
    <w:rsid w:val="00CD481F"/>
    <w:rsid w:val="00CD484D"/>
    <w:rsid w:val="00CD543A"/>
    <w:rsid w:val="00CD5606"/>
    <w:rsid w:val="00CD65C7"/>
    <w:rsid w:val="00CE11EC"/>
    <w:rsid w:val="00CE2880"/>
    <w:rsid w:val="00CE2BBF"/>
    <w:rsid w:val="00CE2E06"/>
    <w:rsid w:val="00CE4CFF"/>
    <w:rsid w:val="00CE6044"/>
    <w:rsid w:val="00CE64C7"/>
    <w:rsid w:val="00CF06E9"/>
    <w:rsid w:val="00CF150D"/>
    <w:rsid w:val="00CF21EF"/>
    <w:rsid w:val="00CF2611"/>
    <w:rsid w:val="00CF3916"/>
    <w:rsid w:val="00CF443E"/>
    <w:rsid w:val="00CF5152"/>
    <w:rsid w:val="00CF5E15"/>
    <w:rsid w:val="00D0035A"/>
    <w:rsid w:val="00D039CA"/>
    <w:rsid w:val="00D04163"/>
    <w:rsid w:val="00D04852"/>
    <w:rsid w:val="00D057B2"/>
    <w:rsid w:val="00D05C80"/>
    <w:rsid w:val="00D05E5A"/>
    <w:rsid w:val="00D07EBA"/>
    <w:rsid w:val="00D12572"/>
    <w:rsid w:val="00D12A62"/>
    <w:rsid w:val="00D14F3F"/>
    <w:rsid w:val="00D15255"/>
    <w:rsid w:val="00D20F54"/>
    <w:rsid w:val="00D215E2"/>
    <w:rsid w:val="00D2480F"/>
    <w:rsid w:val="00D25A91"/>
    <w:rsid w:val="00D274A1"/>
    <w:rsid w:val="00D34BE0"/>
    <w:rsid w:val="00D34EC1"/>
    <w:rsid w:val="00D35A04"/>
    <w:rsid w:val="00D35CB7"/>
    <w:rsid w:val="00D35D4A"/>
    <w:rsid w:val="00D36A7B"/>
    <w:rsid w:val="00D371A3"/>
    <w:rsid w:val="00D415C5"/>
    <w:rsid w:val="00D41E3B"/>
    <w:rsid w:val="00D42C6E"/>
    <w:rsid w:val="00D45869"/>
    <w:rsid w:val="00D46872"/>
    <w:rsid w:val="00D47936"/>
    <w:rsid w:val="00D50079"/>
    <w:rsid w:val="00D51744"/>
    <w:rsid w:val="00D5257B"/>
    <w:rsid w:val="00D541D2"/>
    <w:rsid w:val="00D54AE6"/>
    <w:rsid w:val="00D55BEC"/>
    <w:rsid w:val="00D5637D"/>
    <w:rsid w:val="00D567A3"/>
    <w:rsid w:val="00D569A8"/>
    <w:rsid w:val="00D572BF"/>
    <w:rsid w:val="00D5747F"/>
    <w:rsid w:val="00D5764B"/>
    <w:rsid w:val="00D601E9"/>
    <w:rsid w:val="00D6039F"/>
    <w:rsid w:val="00D61505"/>
    <w:rsid w:val="00D624BA"/>
    <w:rsid w:val="00D628B3"/>
    <w:rsid w:val="00D62A70"/>
    <w:rsid w:val="00D62AA1"/>
    <w:rsid w:val="00D63ED0"/>
    <w:rsid w:val="00D6481D"/>
    <w:rsid w:val="00D65482"/>
    <w:rsid w:val="00D666C4"/>
    <w:rsid w:val="00D67C59"/>
    <w:rsid w:val="00D70950"/>
    <w:rsid w:val="00D72BF0"/>
    <w:rsid w:val="00D73146"/>
    <w:rsid w:val="00D748BB"/>
    <w:rsid w:val="00D76CA5"/>
    <w:rsid w:val="00D80C5D"/>
    <w:rsid w:val="00D8130F"/>
    <w:rsid w:val="00D81FFD"/>
    <w:rsid w:val="00D82EC7"/>
    <w:rsid w:val="00D83197"/>
    <w:rsid w:val="00D83B7E"/>
    <w:rsid w:val="00D8746D"/>
    <w:rsid w:val="00D907E2"/>
    <w:rsid w:val="00D90E02"/>
    <w:rsid w:val="00D9116D"/>
    <w:rsid w:val="00D92EC1"/>
    <w:rsid w:val="00D9332C"/>
    <w:rsid w:val="00D935AF"/>
    <w:rsid w:val="00D9477D"/>
    <w:rsid w:val="00D95B96"/>
    <w:rsid w:val="00DA2440"/>
    <w:rsid w:val="00DA2A2C"/>
    <w:rsid w:val="00DA4339"/>
    <w:rsid w:val="00DA5D85"/>
    <w:rsid w:val="00DA6B35"/>
    <w:rsid w:val="00DA7FD3"/>
    <w:rsid w:val="00DB14F3"/>
    <w:rsid w:val="00DB1BB1"/>
    <w:rsid w:val="00DB2A59"/>
    <w:rsid w:val="00DB2A83"/>
    <w:rsid w:val="00DB30D2"/>
    <w:rsid w:val="00DB5FC0"/>
    <w:rsid w:val="00DB7F11"/>
    <w:rsid w:val="00DC06F4"/>
    <w:rsid w:val="00DC17BC"/>
    <w:rsid w:val="00DC194C"/>
    <w:rsid w:val="00DC24CF"/>
    <w:rsid w:val="00DC42DE"/>
    <w:rsid w:val="00DC4873"/>
    <w:rsid w:val="00DC6EAA"/>
    <w:rsid w:val="00DC7200"/>
    <w:rsid w:val="00DD2A40"/>
    <w:rsid w:val="00DD4963"/>
    <w:rsid w:val="00DD5F73"/>
    <w:rsid w:val="00DD600D"/>
    <w:rsid w:val="00DD66A8"/>
    <w:rsid w:val="00DE15DD"/>
    <w:rsid w:val="00DE278F"/>
    <w:rsid w:val="00DE3673"/>
    <w:rsid w:val="00DE5802"/>
    <w:rsid w:val="00DE766E"/>
    <w:rsid w:val="00DE7EA9"/>
    <w:rsid w:val="00DF0ED8"/>
    <w:rsid w:val="00DF280F"/>
    <w:rsid w:val="00DF35DA"/>
    <w:rsid w:val="00DF3AA9"/>
    <w:rsid w:val="00DF5FD3"/>
    <w:rsid w:val="00DF6D23"/>
    <w:rsid w:val="00DF6F61"/>
    <w:rsid w:val="00DF72DE"/>
    <w:rsid w:val="00E016E0"/>
    <w:rsid w:val="00E01A1F"/>
    <w:rsid w:val="00E01B2F"/>
    <w:rsid w:val="00E03664"/>
    <w:rsid w:val="00E05466"/>
    <w:rsid w:val="00E0726A"/>
    <w:rsid w:val="00E12043"/>
    <w:rsid w:val="00E12E29"/>
    <w:rsid w:val="00E13DE0"/>
    <w:rsid w:val="00E14557"/>
    <w:rsid w:val="00E167C5"/>
    <w:rsid w:val="00E20247"/>
    <w:rsid w:val="00E20FF6"/>
    <w:rsid w:val="00E2654F"/>
    <w:rsid w:val="00E26E3C"/>
    <w:rsid w:val="00E2702D"/>
    <w:rsid w:val="00E27504"/>
    <w:rsid w:val="00E30962"/>
    <w:rsid w:val="00E31C0C"/>
    <w:rsid w:val="00E34051"/>
    <w:rsid w:val="00E369C7"/>
    <w:rsid w:val="00E36C4F"/>
    <w:rsid w:val="00E36C57"/>
    <w:rsid w:val="00E3719A"/>
    <w:rsid w:val="00E37F36"/>
    <w:rsid w:val="00E41266"/>
    <w:rsid w:val="00E4141A"/>
    <w:rsid w:val="00E41F62"/>
    <w:rsid w:val="00E4245C"/>
    <w:rsid w:val="00E429D5"/>
    <w:rsid w:val="00E463F5"/>
    <w:rsid w:val="00E52EB1"/>
    <w:rsid w:val="00E53068"/>
    <w:rsid w:val="00E55EA7"/>
    <w:rsid w:val="00E56545"/>
    <w:rsid w:val="00E60DA4"/>
    <w:rsid w:val="00E6159B"/>
    <w:rsid w:val="00E6194C"/>
    <w:rsid w:val="00E62884"/>
    <w:rsid w:val="00E638D3"/>
    <w:rsid w:val="00E640E2"/>
    <w:rsid w:val="00E643EA"/>
    <w:rsid w:val="00E64D4E"/>
    <w:rsid w:val="00E67E00"/>
    <w:rsid w:val="00E70190"/>
    <w:rsid w:val="00E703A7"/>
    <w:rsid w:val="00E70BAE"/>
    <w:rsid w:val="00E70D70"/>
    <w:rsid w:val="00E71D98"/>
    <w:rsid w:val="00E7298C"/>
    <w:rsid w:val="00E76123"/>
    <w:rsid w:val="00E761DA"/>
    <w:rsid w:val="00E767AD"/>
    <w:rsid w:val="00E7722A"/>
    <w:rsid w:val="00E77287"/>
    <w:rsid w:val="00E77B4B"/>
    <w:rsid w:val="00E80644"/>
    <w:rsid w:val="00E80789"/>
    <w:rsid w:val="00E81240"/>
    <w:rsid w:val="00E81D68"/>
    <w:rsid w:val="00E845AB"/>
    <w:rsid w:val="00E85012"/>
    <w:rsid w:val="00E87793"/>
    <w:rsid w:val="00E87A50"/>
    <w:rsid w:val="00E901AB"/>
    <w:rsid w:val="00E9053C"/>
    <w:rsid w:val="00E91378"/>
    <w:rsid w:val="00E919D1"/>
    <w:rsid w:val="00E921DB"/>
    <w:rsid w:val="00E926A5"/>
    <w:rsid w:val="00E92CE5"/>
    <w:rsid w:val="00E93551"/>
    <w:rsid w:val="00E9539C"/>
    <w:rsid w:val="00E96FEA"/>
    <w:rsid w:val="00E97771"/>
    <w:rsid w:val="00E97900"/>
    <w:rsid w:val="00EA0285"/>
    <w:rsid w:val="00EA028B"/>
    <w:rsid w:val="00EA056E"/>
    <w:rsid w:val="00EA10FA"/>
    <w:rsid w:val="00EA1387"/>
    <w:rsid w:val="00EA179E"/>
    <w:rsid w:val="00EA370D"/>
    <w:rsid w:val="00EA4470"/>
    <w:rsid w:val="00EA4BFD"/>
    <w:rsid w:val="00EB003A"/>
    <w:rsid w:val="00EB0489"/>
    <w:rsid w:val="00EB2C66"/>
    <w:rsid w:val="00EB33CF"/>
    <w:rsid w:val="00EB4E40"/>
    <w:rsid w:val="00EB596D"/>
    <w:rsid w:val="00EB6C09"/>
    <w:rsid w:val="00EB6E9B"/>
    <w:rsid w:val="00EB7F14"/>
    <w:rsid w:val="00EC02F9"/>
    <w:rsid w:val="00EC0390"/>
    <w:rsid w:val="00EC48CD"/>
    <w:rsid w:val="00EC64BF"/>
    <w:rsid w:val="00EC6DC5"/>
    <w:rsid w:val="00EC6EF3"/>
    <w:rsid w:val="00EC754B"/>
    <w:rsid w:val="00ED20DC"/>
    <w:rsid w:val="00ED28DF"/>
    <w:rsid w:val="00ED2B7D"/>
    <w:rsid w:val="00ED3D3C"/>
    <w:rsid w:val="00ED445F"/>
    <w:rsid w:val="00ED4AEF"/>
    <w:rsid w:val="00ED4C98"/>
    <w:rsid w:val="00ED5BF1"/>
    <w:rsid w:val="00ED65E5"/>
    <w:rsid w:val="00EE1213"/>
    <w:rsid w:val="00EE1795"/>
    <w:rsid w:val="00EE2E73"/>
    <w:rsid w:val="00EE39A8"/>
    <w:rsid w:val="00EE4A57"/>
    <w:rsid w:val="00EE7BAF"/>
    <w:rsid w:val="00EE7DA1"/>
    <w:rsid w:val="00EF0BB4"/>
    <w:rsid w:val="00EF3B50"/>
    <w:rsid w:val="00EF40E2"/>
    <w:rsid w:val="00EF6489"/>
    <w:rsid w:val="00EF73D3"/>
    <w:rsid w:val="00EF770C"/>
    <w:rsid w:val="00F00DD9"/>
    <w:rsid w:val="00F02133"/>
    <w:rsid w:val="00F02145"/>
    <w:rsid w:val="00F029BE"/>
    <w:rsid w:val="00F03449"/>
    <w:rsid w:val="00F05A8E"/>
    <w:rsid w:val="00F0689A"/>
    <w:rsid w:val="00F07125"/>
    <w:rsid w:val="00F123D7"/>
    <w:rsid w:val="00F13EBD"/>
    <w:rsid w:val="00F172FE"/>
    <w:rsid w:val="00F17A12"/>
    <w:rsid w:val="00F2055B"/>
    <w:rsid w:val="00F20573"/>
    <w:rsid w:val="00F23621"/>
    <w:rsid w:val="00F24B2B"/>
    <w:rsid w:val="00F24C43"/>
    <w:rsid w:val="00F2595E"/>
    <w:rsid w:val="00F27B5A"/>
    <w:rsid w:val="00F32EB7"/>
    <w:rsid w:val="00F35813"/>
    <w:rsid w:val="00F36981"/>
    <w:rsid w:val="00F37B96"/>
    <w:rsid w:val="00F401CC"/>
    <w:rsid w:val="00F41861"/>
    <w:rsid w:val="00F424F8"/>
    <w:rsid w:val="00F42816"/>
    <w:rsid w:val="00F437C9"/>
    <w:rsid w:val="00F44B2B"/>
    <w:rsid w:val="00F4676D"/>
    <w:rsid w:val="00F4CA9D"/>
    <w:rsid w:val="00F51870"/>
    <w:rsid w:val="00F52632"/>
    <w:rsid w:val="00F54213"/>
    <w:rsid w:val="00F54C3A"/>
    <w:rsid w:val="00F552F1"/>
    <w:rsid w:val="00F55FA8"/>
    <w:rsid w:val="00F560FF"/>
    <w:rsid w:val="00F5712A"/>
    <w:rsid w:val="00F60D3F"/>
    <w:rsid w:val="00F62102"/>
    <w:rsid w:val="00F6284C"/>
    <w:rsid w:val="00F63C99"/>
    <w:rsid w:val="00F6423A"/>
    <w:rsid w:val="00F6572D"/>
    <w:rsid w:val="00F66BAB"/>
    <w:rsid w:val="00F67DE9"/>
    <w:rsid w:val="00F67E55"/>
    <w:rsid w:val="00F70464"/>
    <w:rsid w:val="00F71F09"/>
    <w:rsid w:val="00F72A98"/>
    <w:rsid w:val="00F7316F"/>
    <w:rsid w:val="00F74B4B"/>
    <w:rsid w:val="00F76BFF"/>
    <w:rsid w:val="00F77EE7"/>
    <w:rsid w:val="00F81B56"/>
    <w:rsid w:val="00F822FE"/>
    <w:rsid w:val="00F837D8"/>
    <w:rsid w:val="00F83E0B"/>
    <w:rsid w:val="00F84E9F"/>
    <w:rsid w:val="00F86097"/>
    <w:rsid w:val="00F863BC"/>
    <w:rsid w:val="00F86A92"/>
    <w:rsid w:val="00F87AC3"/>
    <w:rsid w:val="00F90643"/>
    <w:rsid w:val="00F9113D"/>
    <w:rsid w:val="00F917C2"/>
    <w:rsid w:val="00F91B7E"/>
    <w:rsid w:val="00F91EF0"/>
    <w:rsid w:val="00F9279A"/>
    <w:rsid w:val="00F94724"/>
    <w:rsid w:val="00F94D7F"/>
    <w:rsid w:val="00F950EE"/>
    <w:rsid w:val="00F96558"/>
    <w:rsid w:val="00FA3EA5"/>
    <w:rsid w:val="00FA64D0"/>
    <w:rsid w:val="00FA69DC"/>
    <w:rsid w:val="00FB0241"/>
    <w:rsid w:val="00FB10E9"/>
    <w:rsid w:val="00FB4CE8"/>
    <w:rsid w:val="00FC08A6"/>
    <w:rsid w:val="00FC1F13"/>
    <w:rsid w:val="00FC2843"/>
    <w:rsid w:val="00FC650D"/>
    <w:rsid w:val="00FC6AC2"/>
    <w:rsid w:val="00FC7A69"/>
    <w:rsid w:val="00FC7B74"/>
    <w:rsid w:val="00FD00B9"/>
    <w:rsid w:val="00FD022E"/>
    <w:rsid w:val="00FD4761"/>
    <w:rsid w:val="00FD488C"/>
    <w:rsid w:val="00FD7FBB"/>
    <w:rsid w:val="00FE0497"/>
    <w:rsid w:val="00FE0847"/>
    <w:rsid w:val="00FE0B91"/>
    <w:rsid w:val="00FE10DB"/>
    <w:rsid w:val="00FE163D"/>
    <w:rsid w:val="00FE2052"/>
    <w:rsid w:val="00FE24BC"/>
    <w:rsid w:val="00FE2E37"/>
    <w:rsid w:val="00FE2F8A"/>
    <w:rsid w:val="00FE2FF5"/>
    <w:rsid w:val="00FE3277"/>
    <w:rsid w:val="00FE3362"/>
    <w:rsid w:val="00FE3B87"/>
    <w:rsid w:val="00FE45B3"/>
    <w:rsid w:val="00FF0F17"/>
    <w:rsid w:val="00FF1186"/>
    <w:rsid w:val="00FF4715"/>
    <w:rsid w:val="00FF62D0"/>
    <w:rsid w:val="00FF64C1"/>
    <w:rsid w:val="00FF6D24"/>
    <w:rsid w:val="01124B1C"/>
    <w:rsid w:val="03C5666C"/>
    <w:rsid w:val="04E84A69"/>
    <w:rsid w:val="0555757A"/>
    <w:rsid w:val="05FA0679"/>
    <w:rsid w:val="07145B0A"/>
    <w:rsid w:val="086108A5"/>
    <w:rsid w:val="097C790E"/>
    <w:rsid w:val="0AEFDFE2"/>
    <w:rsid w:val="0D5D3E11"/>
    <w:rsid w:val="0EF5735B"/>
    <w:rsid w:val="112578D2"/>
    <w:rsid w:val="11AF6063"/>
    <w:rsid w:val="12B2399F"/>
    <w:rsid w:val="12B279EF"/>
    <w:rsid w:val="12EB4DFE"/>
    <w:rsid w:val="13695524"/>
    <w:rsid w:val="13F748F7"/>
    <w:rsid w:val="14A85E48"/>
    <w:rsid w:val="14F10948"/>
    <w:rsid w:val="16C84928"/>
    <w:rsid w:val="17431A4C"/>
    <w:rsid w:val="18883B7A"/>
    <w:rsid w:val="18B13301"/>
    <w:rsid w:val="19461EAE"/>
    <w:rsid w:val="196A02E9"/>
    <w:rsid w:val="1A3F770F"/>
    <w:rsid w:val="1A953B77"/>
    <w:rsid w:val="1B193AF4"/>
    <w:rsid w:val="1C6B7B41"/>
    <w:rsid w:val="1CDB5D03"/>
    <w:rsid w:val="1CF60BAD"/>
    <w:rsid w:val="1FAE3613"/>
    <w:rsid w:val="1FD5F335"/>
    <w:rsid w:val="20371D2C"/>
    <w:rsid w:val="20DE6762"/>
    <w:rsid w:val="20FFDD9D"/>
    <w:rsid w:val="225C328C"/>
    <w:rsid w:val="24576AF4"/>
    <w:rsid w:val="25DB54A6"/>
    <w:rsid w:val="25F3126E"/>
    <w:rsid w:val="25FB5663"/>
    <w:rsid w:val="285004BA"/>
    <w:rsid w:val="2ABC5575"/>
    <w:rsid w:val="2AEC3DCE"/>
    <w:rsid w:val="2B1C6AA2"/>
    <w:rsid w:val="2C424D46"/>
    <w:rsid w:val="2D00627B"/>
    <w:rsid w:val="2DBE8A94"/>
    <w:rsid w:val="2E571098"/>
    <w:rsid w:val="2EE46608"/>
    <w:rsid w:val="2F6177F1"/>
    <w:rsid w:val="2FEFAF3B"/>
    <w:rsid w:val="30A80B55"/>
    <w:rsid w:val="33BD3F80"/>
    <w:rsid w:val="345D55E8"/>
    <w:rsid w:val="35BB6596"/>
    <w:rsid w:val="360B7A60"/>
    <w:rsid w:val="362D450A"/>
    <w:rsid w:val="39340E84"/>
    <w:rsid w:val="396B5AD3"/>
    <w:rsid w:val="3ADA5897"/>
    <w:rsid w:val="3B2F08C1"/>
    <w:rsid w:val="3C8055E5"/>
    <w:rsid w:val="3E19006A"/>
    <w:rsid w:val="3E6E0435"/>
    <w:rsid w:val="3EFBC86F"/>
    <w:rsid w:val="3F5FB960"/>
    <w:rsid w:val="3FB77776"/>
    <w:rsid w:val="3FFAE7C6"/>
    <w:rsid w:val="3FFE872A"/>
    <w:rsid w:val="3FFF5EAD"/>
    <w:rsid w:val="426E5855"/>
    <w:rsid w:val="42A86376"/>
    <w:rsid w:val="4361103D"/>
    <w:rsid w:val="44CA600C"/>
    <w:rsid w:val="44DF4572"/>
    <w:rsid w:val="46A766A3"/>
    <w:rsid w:val="473B5CBF"/>
    <w:rsid w:val="47424817"/>
    <w:rsid w:val="47812C4D"/>
    <w:rsid w:val="497D6F5C"/>
    <w:rsid w:val="4A772E1F"/>
    <w:rsid w:val="4B4B0665"/>
    <w:rsid w:val="4B8F590F"/>
    <w:rsid w:val="4BFF68C4"/>
    <w:rsid w:val="4BFF808A"/>
    <w:rsid w:val="4C2F7487"/>
    <w:rsid w:val="4C8A0FE3"/>
    <w:rsid w:val="4CA00D19"/>
    <w:rsid w:val="4D75D5B5"/>
    <w:rsid w:val="4DC974B2"/>
    <w:rsid w:val="4DF73F4C"/>
    <w:rsid w:val="4E166F9E"/>
    <w:rsid w:val="4F7F496F"/>
    <w:rsid w:val="4F8A2F93"/>
    <w:rsid w:val="4FEEAAA5"/>
    <w:rsid w:val="4FFE5A11"/>
    <w:rsid w:val="52553C9F"/>
    <w:rsid w:val="52BC4543"/>
    <w:rsid w:val="54375858"/>
    <w:rsid w:val="546957E3"/>
    <w:rsid w:val="55366339"/>
    <w:rsid w:val="55FF4E7D"/>
    <w:rsid w:val="5617369B"/>
    <w:rsid w:val="56770AC1"/>
    <w:rsid w:val="56BEBA2F"/>
    <w:rsid w:val="576D02A8"/>
    <w:rsid w:val="577F1418"/>
    <w:rsid w:val="57E32CD8"/>
    <w:rsid w:val="580B7568"/>
    <w:rsid w:val="58757F7F"/>
    <w:rsid w:val="58997D6A"/>
    <w:rsid w:val="5A25668A"/>
    <w:rsid w:val="5B9E519A"/>
    <w:rsid w:val="5BD91442"/>
    <w:rsid w:val="5BE453A8"/>
    <w:rsid w:val="5BF86E41"/>
    <w:rsid w:val="5BFA9100"/>
    <w:rsid w:val="5D7435F8"/>
    <w:rsid w:val="5DBB4C65"/>
    <w:rsid w:val="5E774A35"/>
    <w:rsid w:val="5E7A479E"/>
    <w:rsid w:val="5EDD92B5"/>
    <w:rsid w:val="5F81E6EA"/>
    <w:rsid w:val="5FDF0D1A"/>
    <w:rsid w:val="5FFF5639"/>
    <w:rsid w:val="62FD1258"/>
    <w:rsid w:val="649F13CB"/>
    <w:rsid w:val="64EED8CF"/>
    <w:rsid w:val="65624C70"/>
    <w:rsid w:val="65CE6830"/>
    <w:rsid w:val="65E55C30"/>
    <w:rsid w:val="663020F9"/>
    <w:rsid w:val="66AC4E98"/>
    <w:rsid w:val="685A71FB"/>
    <w:rsid w:val="69234654"/>
    <w:rsid w:val="69427B07"/>
    <w:rsid w:val="6945D229"/>
    <w:rsid w:val="69513C67"/>
    <w:rsid w:val="69FB9F12"/>
    <w:rsid w:val="6A5F01A0"/>
    <w:rsid w:val="6B3B10F8"/>
    <w:rsid w:val="6C4B749C"/>
    <w:rsid w:val="6E3FC12D"/>
    <w:rsid w:val="6E566BFC"/>
    <w:rsid w:val="6E8332A7"/>
    <w:rsid w:val="6EA7176E"/>
    <w:rsid w:val="6EF13089"/>
    <w:rsid w:val="6EFFADB2"/>
    <w:rsid w:val="6F675556"/>
    <w:rsid w:val="6F823FC1"/>
    <w:rsid w:val="6FD97AC4"/>
    <w:rsid w:val="6FEE488D"/>
    <w:rsid w:val="6FF8CE47"/>
    <w:rsid w:val="702C701E"/>
    <w:rsid w:val="706C4382"/>
    <w:rsid w:val="735BD90F"/>
    <w:rsid w:val="73CE1161"/>
    <w:rsid w:val="75034B79"/>
    <w:rsid w:val="7511466B"/>
    <w:rsid w:val="76676AFE"/>
    <w:rsid w:val="766B88A7"/>
    <w:rsid w:val="77074454"/>
    <w:rsid w:val="77EFEB05"/>
    <w:rsid w:val="7834A2E3"/>
    <w:rsid w:val="78B00B22"/>
    <w:rsid w:val="78CA6093"/>
    <w:rsid w:val="79B7BDA8"/>
    <w:rsid w:val="79CD69DF"/>
    <w:rsid w:val="79EFDDAA"/>
    <w:rsid w:val="7A2973A6"/>
    <w:rsid w:val="7B56667B"/>
    <w:rsid w:val="7B5C7BBA"/>
    <w:rsid w:val="7BDF826D"/>
    <w:rsid w:val="7BFFF7A0"/>
    <w:rsid w:val="7C0F2EBB"/>
    <w:rsid w:val="7C182B51"/>
    <w:rsid w:val="7C4EE754"/>
    <w:rsid w:val="7CD528E4"/>
    <w:rsid w:val="7D153C3E"/>
    <w:rsid w:val="7DC56314"/>
    <w:rsid w:val="7DD3B150"/>
    <w:rsid w:val="7DEED08E"/>
    <w:rsid w:val="7E200A68"/>
    <w:rsid w:val="7E7FBF57"/>
    <w:rsid w:val="7EFF270F"/>
    <w:rsid w:val="7F8D35E5"/>
    <w:rsid w:val="7FBF007D"/>
    <w:rsid w:val="7FD8277D"/>
    <w:rsid w:val="7FFD46D0"/>
    <w:rsid w:val="7FFF2F41"/>
    <w:rsid w:val="7FFFADB5"/>
    <w:rsid w:val="8ACEF65B"/>
    <w:rsid w:val="93B70404"/>
    <w:rsid w:val="95FF9FFC"/>
    <w:rsid w:val="9CFF8E9B"/>
    <w:rsid w:val="9FAF6E2A"/>
    <w:rsid w:val="A3EFF084"/>
    <w:rsid w:val="A9FF6807"/>
    <w:rsid w:val="AEFACE09"/>
    <w:rsid w:val="AF9F3BFC"/>
    <w:rsid w:val="B37A3A4B"/>
    <w:rsid w:val="B6EB7A11"/>
    <w:rsid w:val="BAE36780"/>
    <w:rsid w:val="BB79B721"/>
    <w:rsid w:val="BE7BDC2C"/>
    <w:rsid w:val="BE7D36DE"/>
    <w:rsid w:val="BEBFA5EA"/>
    <w:rsid w:val="BF7D2499"/>
    <w:rsid w:val="BFF6BC48"/>
    <w:rsid w:val="BFFF695E"/>
    <w:rsid w:val="CB2B5E78"/>
    <w:rsid w:val="CD9EB25A"/>
    <w:rsid w:val="D6EF71B1"/>
    <w:rsid w:val="D7536328"/>
    <w:rsid w:val="D7DB4211"/>
    <w:rsid w:val="D7EF388C"/>
    <w:rsid w:val="D9EA73C5"/>
    <w:rsid w:val="DDDF993C"/>
    <w:rsid w:val="DDE38492"/>
    <w:rsid w:val="DED7E4C1"/>
    <w:rsid w:val="DEFF27CD"/>
    <w:rsid w:val="DF2FD5C7"/>
    <w:rsid w:val="DFF8F381"/>
    <w:rsid w:val="E507DE39"/>
    <w:rsid w:val="EA6C0EA0"/>
    <w:rsid w:val="EBF34027"/>
    <w:rsid w:val="ECDF24EC"/>
    <w:rsid w:val="EF5EEF4D"/>
    <w:rsid w:val="EFBFF784"/>
    <w:rsid w:val="EFFEEC12"/>
    <w:rsid w:val="F3FE2D9C"/>
    <w:rsid w:val="F3FF9936"/>
    <w:rsid w:val="F3FFBE74"/>
    <w:rsid w:val="F56B6D1C"/>
    <w:rsid w:val="F6FB3C43"/>
    <w:rsid w:val="F7FD7C29"/>
    <w:rsid w:val="F7FEE17D"/>
    <w:rsid w:val="FADD638F"/>
    <w:rsid w:val="FCBFE5F6"/>
    <w:rsid w:val="FDED75CC"/>
    <w:rsid w:val="FDEF68BE"/>
    <w:rsid w:val="FF7FD1D7"/>
    <w:rsid w:val="FF7FEA17"/>
    <w:rsid w:val="FF9D692A"/>
    <w:rsid w:val="FF9F976A"/>
    <w:rsid w:val="FFA7DEE8"/>
    <w:rsid w:val="FFB71375"/>
    <w:rsid w:val="FFBE697D"/>
    <w:rsid w:val="FFDDCED9"/>
    <w:rsid w:val="FFDF731C"/>
    <w:rsid w:val="FFED5013"/>
    <w:rsid w:val="FFEF053A"/>
    <w:rsid w:val="FFFD5C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spacing w:before="120" w:after="120" w:line="240" w:lineRule="auto"/>
      <w:jc w:val="center"/>
      <w:outlineLvl w:val="0"/>
    </w:pPr>
    <w:rPr>
      <w:kern w:val="44"/>
    </w:rPr>
  </w:style>
  <w:style w:type="paragraph" w:styleId="3">
    <w:name w:val="heading 2"/>
    <w:basedOn w:val="1"/>
    <w:next w:val="1"/>
    <w:link w:val="60"/>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1"/>
    <w:qFormat/>
    <w:uiPriority w:val="0"/>
    <w:pPr>
      <w:keepNext/>
      <w:keepLines/>
      <w:spacing w:before="260" w:after="260" w:line="416" w:lineRule="auto"/>
      <w:outlineLvl w:val="2"/>
    </w:pPr>
    <w:rPr>
      <w:b/>
      <w:bCs/>
      <w:sz w:val="32"/>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102"/>
    <w:qFormat/>
    <w:uiPriority w:val="0"/>
    <w:pPr>
      <w:keepNext/>
      <w:keepLines/>
      <w:spacing w:before="280" w:after="290" w:line="376" w:lineRule="auto"/>
      <w:outlineLvl w:val="4"/>
    </w:pPr>
    <w:rPr>
      <w:rFonts w:ascii="Calibri" w:hAnsi="Calibri"/>
      <w:b/>
      <w:sz w:val="28"/>
      <w:szCs w:val="20"/>
    </w:rPr>
  </w:style>
  <w:style w:type="paragraph" w:styleId="8">
    <w:name w:val="heading 6"/>
    <w:basedOn w:val="1"/>
    <w:next w:val="7"/>
    <w:link w:val="10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104"/>
    <w:qFormat/>
    <w:uiPriority w:val="0"/>
    <w:pPr>
      <w:keepNext/>
      <w:keepLines/>
      <w:spacing w:before="240" w:after="64" w:line="320" w:lineRule="auto"/>
      <w:outlineLvl w:val="6"/>
    </w:pPr>
    <w:rPr>
      <w:rFonts w:ascii="Calibri" w:hAnsi="Calibri"/>
      <w:b/>
      <w:sz w:val="24"/>
      <w:szCs w:val="20"/>
    </w:rPr>
  </w:style>
  <w:style w:type="paragraph" w:styleId="10">
    <w:name w:val="heading 8"/>
    <w:basedOn w:val="1"/>
    <w:next w:val="7"/>
    <w:link w:val="105"/>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106"/>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7"/>
    <w:qFormat/>
    <w:uiPriority w:val="0"/>
    <w:pPr>
      <w:ind w:firstLine="420" w:firstLineChars="200"/>
    </w:pPr>
  </w:style>
  <w:style w:type="paragraph" w:styleId="12">
    <w:name w:val="List 3"/>
    <w:basedOn w:val="1"/>
    <w:qFormat/>
    <w:uiPriority w:val="0"/>
    <w:pPr>
      <w:ind w:left="100" w:leftChars="400" w:hanging="200" w:hangingChars="200"/>
    </w:pPr>
    <w:rPr>
      <w:rFonts w:ascii="Calibri" w:hAnsi="Calibri"/>
      <w:szCs w:val="20"/>
    </w:rPr>
  </w:style>
  <w:style w:type="paragraph" w:styleId="13">
    <w:name w:val="toc 7"/>
    <w:basedOn w:val="1"/>
    <w:next w:val="1"/>
    <w:unhideWhenUsed/>
    <w:qFormat/>
    <w:uiPriority w:val="0"/>
    <w:pPr>
      <w:ind w:left="1260"/>
      <w:jc w:val="left"/>
    </w:pPr>
    <w:rPr>
      <w:rFonts w:asciiTheme="minorHAnsi" w:hAnsiTheme="minorHAnsi"/>
      <w:sz w:val="18"/>
      <w:szCs w:val="18"/>
    </w:rPr>
  </w:style>
  <w:style w:type="paragraph" w:styleId="14">
    <w:name w:val="List Bullet"/>
    <w:basedOn w:val="1"/>
    <w:qFormat/>
    <w:uiPriority w:val="0"/>
    <w:pPr>
      <w:numPr>
        <w:ilvl w:val="0"/>
        <w:numId w:val="1"/>
      </w:numPr>
      <w:tabs>
        <w:tab w:val="left" w:pos="360"/>
      </w:tabs>
    </w:pPr>
    <w:rPr>
      <w:rFonts w:ascii="Calibri" w:hAnsi="Calibri"/>
      <w:szCs w:val="20"/>
    </w:rPr>
  </w:style>
  <w:style w:type="paragraph" w:styleId="15">
    <w:name w:val="Document Map"/>
    <w:basedOn w:val="1"/>
    <w:link w:val="78"/>
    <w:qFormat/>
    <w:uiPriority w:val="0"/>
    <w:pPr>
      <w:shd w:val="clear" w:color="auto" w:fill="000080"/>
    </w:pPr>
  </w:style>
  <w:style w:type="paragraph" w:styleId="16">
    <w:name w:val="annotation text"/>
    <w:basedOn w:val="1"/>
    <w:link w:val="80"/>
    <w:qFormat/>
    <w:uiPriority w:val="0"/>
    <w:pPr>
      <w:jc w:val="left"/>
    </w:pPr>
  </w:style>
  <w:style w:type="paragraph" w:styleId="17">
    <w:name w:val="Salutation"/>
    <w:basedOn w:val="1"/>
    <w:next w:val="1"/>
    <w:link w:val="224"/>
    <w:qFormat/>
    <w:uiPriority w:val="0"/>
    <w:rPr>
      <w:rFonts w:ascii="Verdana" w:hAnsi="Verdana" w:eastAsia="仿宋_GB2312" w:cstheme="minorBidi"/>
      <w:sz w:val="24"/>
      <w:szCs w:val="20"/>
      <w:lang w:eastAsia="en-US"/>
    </w:rPr>
  </w:style>
  <w:style w:type="paragraph" w:styleId="18">
    <w:name w:val="Body Text 3"/>
    <w:basedOn w:val="1"/>
    <w:link w:val="201"/>
    <w:qFormat/>
    <w:uiPriority w:val="0"/>
    <w:pPr>
      <w:spacing w:after="120"/>
    </w:pPr>
    <w:rPr>
      <w:rFonts w:ascii="Calibri" w:hAnsi="Calibri"/>
      <w:sz w:val="16"/>
      <w:szCs w:val="16"/>
    </w:rPr>
  </w:style>
  <w:style w:type="paragraph" w:styleId="19">
    <w:name w:val="Body Text"/>
    <w:basedOn w:val="1"/>
    <w:next w:val="1"/>
    <w:link w:val="79"/>
    <w:qFormat/>
    <w:uiPriority w:val="0"/>
    <w:pPr>
      <w:spacing w:after="120"/>
    </w:pPr>
  </w:style>
  <w:style w:type="paragraph" w:styleId="20">
    <w:name w:val="Body Text Indent"/>
    <w:basedOn w:val="1"/>
    <w:link w:val="188"/>
    <w:unhideWhenUsed/>
    <w:qFormat/>
    <w:uiPriority w:val="0"/>
    <w:pPr>
      <w:spacing w:after="120"/>
      <w:ind w:left="420" w:leftChars="200"/>
    </w:pPr>
  </w:style>
  <w:style w:type="paragraph" w:styleId="21">
    <w:name w:val="List 2"/>
    <w:basedOn w:val="1"/>
    <w:qFormat/>
    <w:uiPriority w:val="0"/>
    <w:pPr>
      <w:adjustRightInd w:val="0"/>
      <w:spacing w:line="360" w:lineRule="atLeast"/>
      <w:ind w:left="840" w:hanging="420"/>
      <w:jc w:val="left"/>
      <w:textAlignment w:val="baseline"/>
    </w:pPr>
    <w:rPr>
      <w:rFonts w:ascii="Calibri" w:hAnsi="Calibri"/>
      <w:spacing w:val="10"/>
      <w:kern w:val="0"/>
      <w:sz w:val="24"/>
      <w:szCs w:val="20"/>
    </w:rPr>
  </w:style>
  <w:style w:type="paragraph" w:styleId="22">
    <w:name w:val="Block Text"/>
    <w:basedOn w:val="1"/>
    <w:qFormat/>
    <w:uiPriority w:val="0"/>
    <w:pPr>
      <w:spacing w:after="120"/>
      <w:ind w:left="1440" w:leftChars="700" w:right="1440" w:rightChars="700"/>
    </w:pPr>
    <w:rPr>
      <w:rFonts w:ascii="Calibri" w:hAnsi="Calibri"/>
    </w:rPr>
  </w:style>
  <w:style w:type="paragraph" w:styleId="23">
    <w:name w:val="toc 5"/>
    <w:basedOn w:val="1"/>
    <w:next w:val="1"/>
    <w:unhideWhenUsed/>
    <w:qFormat/>
    <w:uiPriority w:val="0"/>
    <w:pPr>
      <w:ind w:left="840"/>
      <w:jc w:val="left"/>
    </w:pPr>
    <w:rPr>
      <w:rFonts w:asciiTheme="minorHAnsi" w:hAnsiTheme="minorHAnsi"/>
      <w:sz w:val="18"/>
      <w:szCs w:val="18"/>
    </w:rPr>
  </w:style>
  <w:style w:type="paragraph" w:styleId="24">
    <w:name w:val="toc 3"/>
    <w:basedOn w:val="1"/>
    <w:next w:val="1"/>
    <w:unhideWhenUsed/>
    <w:qFormat/>
    <w:uiPriority w:val="39"/>
    <w:pPr>
      <w:tabs>
        <w:tab w:val="right" w:leader="dot" w:pos="9736"/>
      </w:tabs>
      <w:ind w:left="420"/>
      <w:jc w:val="left"/>
    </w:pPr>
    <w:rPr>
      <w:rFonts w:asciiTheme="minorHAnsi" w:hAnsiTheme="minorHAnsi"/>
      <w:i/>
      <w:iCs/>
      <w:color w:val="000000" w:themeColor="text1"/>
      <w:sz w:val="20"/>
      <w:szCs w:val="20"/>
      <w14:textFill>
        <w14:solidFill>
          <w14:schemeClr w14:val="tx1"/>
        </w14:solidFill>
      </w14:textFill>
    </w:rPr>
  </w:style>
  <w:style w:type="paragraph" w:styleId="25">
    <w:name w:val="Plain Text"/>
    <w:basedOn w:val="1"/>
    <w:link w:val="74"/>
    <w:qFormat/>
    <w:uiPriority w:val="0"/>
    <w:rPr>
      <w:rFonts w:ascii="宋体" w:hAnsi="Courier New"/>
      <w:szCs w:val="20"/>
    </w:rPr>
  </w:style>
  <w:style w:type="paragraph" w:styleId="26">
    <w:name w:val="toc 8"/>
    <w:basedOn w:val="1"/>
    <w:next w:val="1"/>
    <w:unhideWhenUsed/>
    <w:qFormat/>
    <w:uiPriority w:val="0"/>
    <w:pPr>
      <w:ind w:left="1470"/>
      <w:jc w:val="left"/>
    </w:pPr>
    <w:rPr>
      <w:rFonts w:asciiTheme="minorHAnsi" w:hAnsiTheme="minorHAnsi"/>
      <w:sz w:val="18"/>
      <w:szCs w:val="18"/>
    </w:rPr>
  </w:style>
  <w:style w:type="paragraph" w:styleId="27">
    <w:name w:val="Date"/>
    <w:basedOn w:val="1"/>
    <w:next w:val="1"/>
    <w:link w:val="242"/>
    <w:qFormat/>
    <w:uiPriority w:val="0"/>
    <w:rPr>
      <w:rFonts w:ascii="宋体" w:hAnsi="Courier New"/>
      <w:sz w:val="32"/>
      <w:szCs w:val="20"/>
    </w:rPr>
  </w:style>
  <w:style w:type="paragraph" w:styleId="28">
    <w:name w:val="Body Text Indent 2"/>
    <w:basedOn w:val="1"/>
    <w:link w:val="228"/>
    <w:qFormat/>
    <w:uiPriority w:val="0"/>
    <w:pPr>
      <w:spacing w:beforeLines="50" w:afterLines="50" w:line="120" w:lineRule="auto"/>
      <w:ind w:firstLine="840" w:firstLineChars="400"/>
      <w:jc w:val="left"/>
    </w:pPr>
    <w:rPr>
      <w:rFonts w:ascii="宋体" w:hAnsi="宋体"/>
    </w:rPr>
  </w:style>
  <w:style w:type="paragraph" w:styleId="29">
    <w:name w:val="Balloon Text"/>
    <w:basedOn w:val="1"/>
    <w:link w:val="82"/>
    <w:qFormat/>
    <w:uiPriority w:val="0"/>
    <w:rPr>
      <w:sz w:val="18"/>
      <w:szCs w:val="18"/>
    </w:rPr>
  </w:style>
  <w:style w:type="paragraph" w:styleId="30">
    <w:name w:val="footer"/>
    <w:basedOn w:val="1"/>
    <w:link w:val="64"/>
    <w:qFormat/>
    <w:uiPriority w:val="0"/>
    <w:pPr>
      <w:tabs>
        <w:tab w:val="center" w:pos="4153"/>
        <w:tab w:val="right" w:pos="8306"/>
      </w:tabs>
      <w:snapToGrid w:val="0"/>
      <w:jc w:val="left"/>
    </w:pPr>
    <w:rPr>
      <w:sz w:val="18"/>
      <w:szCs w:val="18"/>
    </w:rPr>
  </w:style>
  <w:style w:type="paragraph" w:styleId="31">
    <w:name w:val="header"/>
    <w:basedOn w:val="1"/>
    <w:link w:val="63"/>
    <w:qFormat/>
    <w:uiPriority w:val="99"/>
    <w:pPr>
      <w:pBdr>
        <w:bottom w:val="single" w:color="auto" w:sz="6" w:space="0"/>
      </w:pBdr>
      <w:tabs>
        <w:tab w:val="center" w:pos="4153"/>
        <w:tab w:val="right" w:pos="8306"/>
      </w:tabs>
      <w:snapToGrid w:val="0"/>
      <w:jc w:val="center"/>
    </w:pPr>
    <w:rPr>
      <w:sz w:val="18"/>
      <w:szCs w:val="18"/>
    </w:rPr>
  </w:style>
  <w:style w:type="paragraph" w:styleId="32">
    <w:name w:val="toc 1"/>
    <w:basedOn w:val="1"/>
    <w:next w:val="1"/>
    <w:qFormat/>
    <w:uiPriority w:val="39"/>
    <w:pPr>
      <w:spacing w:before="120" w:after="120"/>
      <w:jc w:val="left"/>
    </w:pPr>
    <w:rPr>
      <w:rFonts w:asciiTheme="minorHAnsi" w:hAnsiTheme="minorHAnsi"/>
      <w:b/>
      <w:bCs/>
      <w:caps/>
      <w:sz w:val="20"/>
      <w:szCs w:val="20"/>
    </w:rPr>
  </w:style>
  <w:style w:type="paragraph" w:styleId="33">
    <w:name w:val="toc 4"/>
    <w:basedOn w:val="1"/>
    <w:next w:val="1"/>
    <w:unhideWhenUsed/>
    <w:qFormat/>
    <w:uiPriority w:val="0"/>
    <w:pPr>
      <w:ind w:left="630"/>
      <w:jc w:val="left"/>
    </w:pPr>
    <w:rPr>
      <w:rFonts w:asciiTheme="minorHAnsi" w:hAnsiTheme="minorHAnsi"/>
      <w:sz w:val="18"/>
      <w:szCs w:val="18"/>
    </w:rPr>
  </w:style>
  <w:style w:type="paragraph" w:styleId="34">
    <w:name w:val="index heading"/>
    <w:basedOn w:val="1"/>
    <w:next w:val="35"/>
    <w:qFormat/>
    <w:uiPriority w:val="99"/>
    <w:rPr>
      <w:rFonts w:ascii="Calibri" w:hAnsi="Calibri"/>
    </w:rPr>
  </w:style>
  <w:style w:type="paragraph" w:styleId="35">
    <w:name w:val="index 1"/>
    <w:basedOn w:val="1"/>
    <w:next w:val="1"/>
    <w:unhideWhenUsed/>
    <w:qFormat/>
    <w:uiPriority w:val="0"/>
  </w:style>
  <w:style w:type="paragraph" w:styleId="36">
    <w:name w:val="List"/>
    <w:basedOn w:val="1"/>
    <w:qFormat/>
    <w:uiPriority w:val="0"/>
    <w:pPr>
      <w:ind w:left="200" w:hanging="200" w:hangingChars="200"/>
    </w:pPr>
    <w:rPr>
      <w:rFonts w:ascii="Calibri" w:hAnsi="Calibri"/>
      <w:szCs w:val="20"/>
    </w:rPr>
  </w:style>
  <w:style w:type="paragraph" w:styleId="37">
    <w:name w:val="toc 6"/>
    <w:basedOn w:val="1"/>
    <w:next w:val="1"/>
    <w:unhideWhenUsed/>
    <w:qFormat/>
    <w:uiPriority w:val="0"/>
    <w:pPr>
      <w:ind w:left="1050"/>
      <w:jc w:val="left"/>
    </w:pPr>
    <w:rPr>
      <w:rFonts w:asciiTheme="minorHAnsi" w:hAnsiTheme="minorHAnsi"/>
      <w:sz w:val="18"/>
      <w:szCs w:val="18"/>
    </w:rPr>
  </w:style>
  <w:style w:type="paragraph" w:styleId="38">
    <w:name w:val="Body Text Indent 3"/>
    <w:basedOn w:val="1"/>
    <w:link w:val="181"/>
    <w:qFormat/>
    <w:uiPriority w:val="0"/>
    <w:pPr>
      <w:spacing w:line="360" w:lineRule="auto"/>
      <w:ind w:firstLine="482" w:firstLineChars="200"/>
    </w:pPr>
    <w:rPr>
      <w:rFonts w:ascii="宋体" w:hAnsi="Calibri"/>
      <w:b/>
      <w:bCs/>
      <w:sz w:val="24"/>
    </w:rPr>
  </w:style>
  <w:style w:type="paragraph" w:styleId="39">
    <w:name w:val="toc 2"/>
    <w:basedOn w:val="1"/>
    <w:next w:val="1"/>
    <w:unhideWhenUsed/>
    <w:qFormat/>
    <w:uiPriority w:val="39"/>
    <w:pPr>
      <w:ind w:left="210"/>
      <w:jc w:val="left"/>
    </w:pPr>
    <w:rPr>
      <w:rFonts w:asciiTheme="minorHAnsi" w:hAnsiTheme="minorHAnsi"/>
      <w:smallCaps/>
      <w:sz w:val="20"/>
      <w:szCs w:val="20"/>
    </w:rPr>
  </w:style>
  <w:style w:type="paragraph" w:styleId="40">
    <w:name w:val="toc 9"/>
    <w:basedOn w:val="1"/>
    <w:next w:val="1"/>
    <w:unhideWhenUsed/>
    <w:qFormat/>
    <w:uiPriority w:val="0"/>
    <w:pPr>
      <w:ind w:left="1680"/>
      <w:jc w:val="left"/>
    </w:pPr>
    <w:rPr>
      <w:rFonts w:asciiTheme="minorHAnsi" w:hAnsiTheme="minorHAnsi"/>
      <w:sz w:val="18"/>
      <w:szCs w:val="18"/>
    </w:rPr>
  </w:style>
  <w:style w:type="paragraph" w:styleId="41">
    <w:name w:val="Body Text 2"/>
    <w:basedOn w:val="1"/>
    <w:link w:val="231"/>
    <w:qFormat/>
    <w:uiPriority w:val="0"/>
    <w:pPr>
      <w:spacing w:line="360" w:lineRule="auto"/>
    </w:pPr>
    <w:rPr>
      <w:rFonts w:ascii="Calibri" w:hAnsi="Calibri"/>
      <w:sz w:val="24"/>
    </w:rPr>
  </w:style>
  <w:style w:type="paragraph" w:styleId="42">
    <w:name w:val="HTML Preformatted"/>
    <w:basedOn w:val="1"/>
    <w:link w:val="6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99"/>
    <w:pPr>
      <w:widowControl/>
      <w:spacing w:before="100" w:beforeAutospacing="1" w:after="100" w:afterAutospacing="1"/>
      <w:jc w:val="left"/>
    </w:pPr>
    <w:rPr>
      <w:kern w:val="0"/>
      <w:sz w:val="24"/>
    </w:rPr>
  </w:style>
  <w:style w:type="paragraph" w:styleId="44">
    <w:name w:val="Title"/>
    <w:basedOn w:val="1"/>
    <w:link w:val="66"/>
    <w:qFormat/>
    <w:uiPriority w:val="0"/>
    <w:pPr>
      <w:spacing w:before="240" w:after="60"/>
      <w:jc w:val="center"/>
      <w:outlineLvl w:val="0"/>
    </w:pPr>
    <w:rPr>
      <w:rFonts w:ascii="Arial" w:hAnsi="Arial" w:eastAsia="隶书" w:cs="Arial"/>
      <w:b/>
      <w:bCs/>
      <w:sz w:val="32"/>
      <w:szCs w:val="32"/>
    </w:rPr>
  </w:style>
  <w:style w:type="paragraph" w:styleId="45">
    <w:name w:val="annotation subject"/>
    <w:basedOn w:val="16"/>
    <w:next w:val="16"/>
    <w:link w:val="81"/>
    <w:qFormat/>
    <w:uiPriority w:val="0"/>
    <w:rPr>
      <w:b/>
      <w:bCs/>
    </w:rPr>
  </w:style>
  <w:style w:type="paragraph" w:styleId="46">
    <w:name w:val="Body Text First Indent"/>
    <w:basedOn w:val="19"/>
    <w:link w:val="216"/>
    <w:qFormat/>
    <w:uiPriority w:val="0"/>
    <w:pPr>
      <w:ind w:firstLine="420" w:firstLineChars="100"/>
    </w:pPr>
    <w:rPr>
      <w:rFonts w:ascii="Verdana" w:hAnsi="Verdana" w:eastAsia="仿宋_GB2312" w:cstheme="minorBidi"/>
      <w:lang w:eastAsia="en-US"/>
    </w:rPr>
  </w:style>
  <w:style w:type="paragraph" w:styleId="47">
    <w:name w:val="Body Text First Indent 2"/>
    <w:basedOn w:val="20"/>
    <w:link w:val="189"/>
    <w:qFormat/>
    <w:uiPriority w:val="0"/>
    <w:pPr>
      <w:numPr>
        <w:ilvl w:val="0"/>
        <w:numId w:val="2"/>
      </w:numPr>
      <w:tabs>
        <w:tab w:val="left" w:pos="1050"/>
        <w:tab w:val="left" w:pos="2040"/>
      </w:tabs>
      <w:ind w:left="420" w:firstLine="420" w:firstLineChars="200"/>
    </w:pPr>
    <w:rPr>
      <w:rFonts w:asciiTheme="minorHAnsi" w:hAnsiTheme="minorHAnsi" w:eastAsiaTheme="minorEastAsia" w:cstheme="minorBidi"/>
    </w:rPr>
  </w:style>
  <w:style w:type="table" w:styleId="49">
    <w:name w:val="Table Grid"/>
    <w:basedOn w:val="48"/>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rFonts w:hint="eastAsia" w:ascii="宋体" w:hAnsi="宋体" w:eastAsia="宋体" w:cs="宋体"/>
      <w:color w:val="0031C1"/>
      <w:sz w:val="18"/>
      <w:szCs w:val="18"/>
      <w:u w:val="none"/>
    </w:rPr>
  </w:style>
  <w:style w:type="character" w:styleId="54">
    <w:name w:val="Emphasis"/>
    <w:qFormat/>
    <w:uiPriority w:val="0"/>
    <w:rPr>
      <w:rFonts w:ascii="仿宋_GB2312" w:eastAsia="仿宋_GB2312"/>
      <w:b/>
      <w:color w:val="CC0000"/>
      <w:kern w:val="2"/>
      <w:sz w:val="28"/>
      <w:szCs w:val="28"/>
      <w:lang w:val="en-US" w:eastAsia="zh-CN" w:bidi="ar-SA"/>
    </w:rPr>
  </w:style>
  <w:style w:type="character" w:styleId="55">
    <w:name w:val="HTML Typewriter"/>
    <w:qFormat/>
    <w:uiPriority w:val="0"/>
    <w:rPr>
      <w:rFonts w:ascii="宋体" w:hAnsi="宋体" w:eastAsia="宋体" w:cs="宋体"/>
      <w:sz w:val="24"/>
      <w:szCs w:val="24"/>
    </w:rPr>
  </w:style>
  <w:style w:type="character" w:styleId="56">
    <w:name w:val="Hyperlink"/>
    <w:basedOn w:val="50"/>
    <w:qFormat/>
    <w:uiPriority w:val="99"/>
    <w:rPr>
      <w:color w:val="0000FF"/>
      <w:u w:val="single"/>
    </w:rPr>
  </w:style>
  <w:style w:type="character" w:styleId="57">
    <w:name w:val="annotation reference"/>
    <w:qFormat/>
    <w:uiPriority w:val="0"/>
    <w:rPr>
      <w:sz w:val="21"/>
      <w:szCs w:val="21"/>
    </w:rPr>
  </w:style>
  <w:style w:type="character" w:styleId="58">
    <w:name w:val="HTML Cite"/>
    <w:qFormat/>
    <w:uiPriority w:val="0"/>
    <w:rPr>
      <w:vanish/>
      <w:color w:val="008000"/>
    </w:rPr>
  </w:style>
  <w:style w:type="character" w:customStyle="1" w:styleId="59">
    <w:name w:val="标题 1 字符"/>
    <w:basedOn w:val="50"/>
    <w:link w:val="2"/>
    <w:qFormat/>
    <w:uiPriority w:val="0"/>
    <w:rPr>
      <w:rFonts w:ascii="Arial" w:hAnsi="Arial" w:eastAsia="黑体" w:cs="Times New Roman"/>
      <w:kern w:val="44"/>
      <w:sz w:val="32"/>
      <w:szCs w:val="32"/>
    </w:rPr>
  </w:style>
  <w:style w:type="character" w:customStyle="1" w:styleId="60">
    <w:name w:val="标题 2 字符"/>
    <w:basedOn w:val="50"/>
    <w:link w:val="3"/>
    <w:qFormat/>
    <w:uiPriority w:val="0"/>
    <w:rPr>
      <w:rFonts w:ascii="Arial" w:hAnsi="Arial" w:eastAsia="黑体" w:cs="Times New Roman"/>
      <w:b/>
      <w:bCs/>
      <w:sz w:val="32"/>
      <w:szCs w:val="32"/>
    </w:rPr>
  </w:style>
  <w:style w:type="character" w:customStyle="1" w:styleId="61">
    <w:name w:val="标题 3 字符"/>
    <w:basedOn w:val="50"/>
    <w:link w:val="4"/>
    <w:qFormat/>
    <w:uiPriority w:val="0"/>
    <w:rPr>
      <w:rFonts w:ascii="Times New Roman" w:hAnsi="Times New Roman" w:eastAsia="宋体" w:cs="Times New Roman"/>
      <w:b/>
      <w:bCs/>
      <w:sz w:val="32"/>
      <w:szCs w:val="32"/>
    </w:rPr>
  </w:style>
  <w:style w:type="character" w:customStyle="1" w:styleId="62">
    <w:name w:val="标题 4 字符"/>
    <w:basedOn w:val="50"/>
    <w:link w:val="5"/>
    <w:qFormat/>
    <w:uiPriority w:val="0"/>
    <w:rPr>
      <w:rFonts w:ascii="Arial" w:hAnsi="Arial" w:eastAsia="黑体" w:cs="Times New Roman"/>
      <w:b/>
      <w:bCs/>
      <w:sz w:val="28"/>
      <w:szCs w:val="28"/>
    </w:rPr>
  </w:style>
  <w:style w:type="character" w:customStyle="1" w:styleId="63">
    <w:name w:val="页眉 字符"/>
    <w:basedOn w:val="50"/>
    <w:link w:val="31"/>
    <w:qFormat/>
    <w:uiPriority w:val="99"/>
    <w:rPr>
      <w:rFonts w:ascii="Times New Roman" w:hAnsi="Times New Roman" w:eastAsia="宋体" w:cs="Times New Roman"/>
      <w:sz w:val="18"/>
      <w:szCs w:val="18"/>
    </w:rPr>
  </w:style>
  <w:style w:type="character" w:customStyle="1" w:styleId="64">
    <w:name w:val="页脚 字符"/>
    <w:basedOn w:val="50"/>
    <w:link w:val="30"/>
    <w:qFormat/>
    <w:uiPriority w:val="99"/>
    <w:rPr>
      <w:rFonts w:ascii="Times New Roman" w:hAnsi="Times New Roman" w:eastAsia="宋体" w:cs="Times New Roman"/>
      <w:sz w:val="18"/>
      <w:szCs w:val="18"/>
    </w:rPr>
  </w:style>
  <w:style w:type="paragraph" w:customStyle="1" w:styleId="6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6">
    <w:name w:val="标题 字符"/>
    <w:basedOn w:val="50"/>
    <w:link w:val="44"/>
    <w:qFormat/>
    <w:uiPriority w:val="0"/>
    <w:rPr>
      <w:rFonts w:ascii="Arial" w:hAnsi="Arial" w:eastAsia="隶书" w:cs="Arial"/>
      <w:b/>
      <w:bCs/>
      <w:sz w:val="32"/>
      <w:szCs w:val="32"/>
    </w:rPr>
  </w:style>
  <w:style w:type="paragraph" w:customStyle="1" w:styleId="67">
    <w:name w:val="样式1 Char Char"/>
    <w:basedOn w:val="1"/>
    <w:next w:val="1"/>
    <w:link w:val="68"/>
    <w:qFormat/>
    <w:uiPriority w:val="0"/>
    <w:pPr>
      <w:spacing w:line="360" w:lineRule="auto"/>
      <w:ind w:firstLine="516" w:firstLineChars="215"/>
    </w:pPr>
    <w:rPr>
      <w:sz w:val="24"/>
      <w:szCs w:val="20"/>
    </w:rPr>
  </w:style>
  <w:style w:type="character" w:customStyle="1" w:styleId="68">
    <w:name w:val="样式1 Char Char Char"/>
    <w:link w:val="67"/>
    <w:qFormat/>
    <w:uiPriority w:val="0"/>
    <w:rPr>
      <w:rFonts w:ascii="Times New Roman" w:hAnsi="Times New Roman" w:eastAsia="宋体" w:cs="Times New Roman"/>
      <w:sz w:val="24"/>
      <w:szCs w:val="20"/>
    </w:rPr>
  </w:style>
  <w:style w:type="character" w:customStyle="1" w:styleId="69">
    <w:name w:val="HTML 预设格式 字符"/>
    <w:basedOn w:val="50"/>
    <w:link w:val="42"/>
    <w:qFormat/>
    <w:uiPriority w:val="0"/>
    <w:rPr>
      <w:rFonts w:ascii="宋体" w:hAnsi="宋体" w:eastAsia="宋体" w:cs="宋体"/>
      <w:kern w:val="0"/>
      <w:sz w:val="24"/>
      <w:szCs w:val="24"/>
    </w:rPr>
  </w:style>
  <w:style w:type="paragraph" w:customStyle="1" w:styleId="70">
    <w:name w:val="样式1"/>
    <w:basedOn w:val="44"/>
    <w:link w:val="71"/>
    <w:qFormat/>
    <w:uiPriority w:val="0"/>
    <w:pPr>
      <w:spacing w:before="120" w:after="120"/>
    </w:pPr>
    <w:rPr>
      <w:rFonts w:eastAsia="黑体"/>
      <w:b w:val="0"/>
      <w:sz w:val="30"/>
      <w:szCs w:val="21"/>
    </w:rPr>
  </w:style>
  <w:style w:type="character" w:customStyle="1" w:styleId="71">
    <w:name w:val="样式1 Char"/>
    <w:link w:val="70"/>
    <w:qFormat/>
    <w:uiPriority w:val="0"/>
    <w:rPr>
      <w:rFonts w:ascii="Arial" w:hAnsi="Arial" w:eastAsia="黑体" w:cs="Arial"/>
      <w:bCs/>
      <w:sz w:val="30"/>
      <w:szCs w:val="21"/>
    </w:rPr>
  </w:style>
  <w:style w:type="paragraph" w:customStyle="1" w:styleId="7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74">
    <w:name w:val="纯文本 字符"/>
    <w:basedOn w:val="50"/>
    <w:link w:val="25"/>
    <w:qFormat/>
    <w:uiPriority w:val="0"/>
    <w:rPr>
      <w:rFonts w:ascii="宋体" w:hAnsi="Courier New" w:eastAsia="宋体" w:cs="Times New Roman"/>
      <w:szCs w:val="20"/>
    </w:rPr>
  </w:style>
  <w:style w:type="paragraph" w:customStyle="1" w:styleId="75">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76">
    <w:name w:val="Char1"/>
    <w:basedOn w:val="1"/>
    <w:qFormat/>
    <w:uiPriority w:val="0"/>
    <w:rPr>
      <w:rFonts w:ascii="仿宋_GB2312" w:eastAsia="仿宋_GB2312"/>
      <w:b/>
      <w:sz w:val="32"/>
      <w:szCs w:val="32"/>
    </w:rPr>
  </w:style>
  <w:style w:type="character" w:customStyle="1" w:styleId="77">
    <w:name w:val="正文缩进 字符1"/>
    <w:link w:val="7"/>
    <w:qFormat/>
    <w:uiPriority w:val="0"/>
    <w:rPr>
      <w:rFonts w:ascii="Times New Roman" w:hAnsi="Times New Roman" w:eastAsia="宋体" w:cs="Times New Roman"/>
      <w:szCs w:val="24"/>
    </w:rPr>
  </w:style>
  <w:style w:type="character" w:customStyle="1" w:styleId="78">
    <w:name w:val="文档结构图 字符"/>
    <w:basedOn w:val="50"/>
    <w:link w:val="15"/>
    <w:qFormat/>
    <w:uiPriority w:val="0"/>
    <w:rPr>
      <w:rFonts w:ascii="Times New Roman" w:hAnsi="Times New Roman" w:eastAsia="宋体" w:cs="Times New Roman"/>
      <w:szCs w:val="24"/>
      <w:shd w:val="clear" w:color="auto" w:fill="000080"/>
    </w:rPr>
  </w:style>
  <w:style w:type="character" w:customStyle="1" w:styleId="79">
    <w:name w:val="正文文本 字符"/>
    <w:basedOn w:val="50"/>
    <w:link w:val="19"/>
    <w:qFormat/>
    <w:uiPriority w:val="99"/>
    <w:rPr>
      <w:rFonts w:ascii="Times New Roman" w:hAnsi="Times New Roman" w:eastAsia="宋体" w:cs="Times New Roman"/>
      <w:szCs w:val="24"/>
    </w:rPr>
  </w:style>
  <w:style w:type="character" w:customStyle="1" w:styleId="80">
    <w:name w:val="批注文字 字符"/>
    <w:basedOn w:val="50"/>
    <w:link w:val="16"/>
    <w:qFormat/>
    <w:uiPriority w:val="0"/>
    <w:rPr>
      <w:rFonts w:ascii="Times New Roman" w:hAnsi="Times New Roman" w:eastAsia="宋体" w:cs="Times New Roman"/>
      <w:szCs w:val="24"/>
    </w:rPr>
  </w:style>
  <w:style w:type="character" w:customStyle="1" w:styleId="81">
    <w:name w:val="批注主题 字符"/>
    <w:basedOn w:val="80"/>
    <w:link w:val="45"/>
    <w:qFormat/>
    <w:uiPriority w:val="0"/>
    <w:rPr>
      <w:rFonts w:ascii="Times New Roman" w:hAnsi="Times New Roman" w:eastAsia="宋体" w:cs="Times New Roman"/>
      <w:b/>
      <w:bCs/>
      <w:szCs w:val="24"/>
    </w:rPr>
  </w:style>
  <w:style w:type="character" w:customStyle="1" w:styleId="82">
    <w:name w:val="批注框文本 字符1"/>
    <w:basedOn w:val="50"/>
    <w:link w:val="29"/>
    <w:qFormat/>
    <w:uiPriority w:val="0"/>
    <w:rPr>
      <w:rFonts w:ascii="Times New Roman" w:hAnsi="Times New Roman" w:eastAsia="宋体" w:cs="Times New Roman"/>
      <w:sz w:val="18"/>
      <w:szCs w:val="18"/>
    </w:rPr>
  </w:style>
  <w:style w:type="paragraph" w:customStyle="1" w:styleId="83">
    <w:name w:val="USE 1"/>
    <w:basedOn w:val="1"/>
    <w:qFormat/>
    <w:uiPriority w:val="0"/>
    <w:pPr>
      <w:spacing w:line="200" w:lineRule="atLeast"/>
      <w:jc w:val="left"/>
    </w:pPr>
    <w:rPr>
      <w:rFonts w:ascii="宋体" w:hAnsi="宋体"/>
      <w:b/>
      <w:sz w:val="24"/>
      <w:szCs w:val="28"/>
    </w:rPr>
  </w:style>
  <w:style w:type="character" w:customStyle="1" w:styleId="84">
    <w:name w:val="正文缩进2格 Char"/>
    <w:link w:val="85"/>
    <w:qFormat/>
    <w:locked/>
    <w:uiPriority w:val="0"/>
    <w:rPr>
      <w:rFonts w:ascii="仿宋_GB2312" w:hAnsi="宋体" w:eastAsia="仿宋_GB2312"/>
      <w:sz w:val="28"/>
    </w:rPr>
  </w:style>
  <w:style w:type="paragraph" w:customStyle="1" w:styleId="85">
    <w:name w:val="正文缩进2格"/>
    <w:basedOn w:val="1"/>
    <w:link w:val="84"/>
    <w:qFormat/>
    <w:uiPriority w:val="0"/>
    <w:pPr>
      <w:spacing w:line="600" w:lineRule="exact"/>
      <w:ind w:firstLine="639" w:firstLineChars="206"/>
    </w:pPr>
    <w:rPr>
      <w:rFonts w:ascii="仿宋_GB2312" w:hAnsi="宋体" w:eastAsia="仿宋_GB2312" w:cstheme="minorBidi"/>
      <w:sz w:val="28"/>
      <w:szCs w:val="22"/>
    </w:rPr>
  </w:style>
  <w:style w:type="paragraph" w:customStyle="1" w:styleId="86">
    <w:name w:val="样式2"/>
    <w:basedOn w:val="16"/>
    <w:link w:val="87"/>
    <w:qFormat/>
    <w:uiPriority w:val="0"/>
  </w:style>
  <w:style w:type="character" w:customStyle="1" w:styleId="87">
    <w:name w:val="样式2 Char"/>
    <w:link w:val="86"/>
    <w:qFormat/>
    <w:uiPriority w:val="0"/>
    <w:rPr>
      <w:rFonts w:ascii="Times New Roman" w:hAnsi="Times New Roman" w:eastAsia="宋体" w:cs="Times New Roman"/>
      <w:szCs w:val="24"/>
    </w:rPr>
  </w:style>
  <w:style w:type="paragraph" w:styleId="88">
    <w:name w:val="List Paragraph"/>
    <w:basedOn w:val="1"/>
    <w:qFormat/>
    <w:uiPriority w:val="99"/>
    <w:pPr>
      <w:ind w:firstLine="420" w:firstLineChars="200"/>
    </w:pPr>
  </w:style>
  <w:style w:type="paragraph" w:customStyle="1" w:styleId="89">
    <w:name w:val="列出段落2"/>
    <w:basedOn w:val="1"/>
    <w:qFormat/>
    <w:uiPriority w:val="0"/>
    <w:pPr>
      <w:ind w:firstLine="420" w:firstLineChars="200"/>
    </w:pPr>
  </w:style>
  <w:style w:type="character" w:customStyle="1" w:styleId="90">
    <w:name w:val="表正文 Char2"/>
    <w:qFormat/>
    <w:uiPriority w:val="0"/>
    <w:rPr>
      <w:rFonts w:eastAsia="宋体"/>
      <w:kern w:val="2"/>
      <w:sz w:val="21"/>
      <w:szCs w:val="24"/>
      <w:lang w:val="en-US" w:eastAsia="zh-CN" w:bidi="ar-SA"/>
    </w:rPr>
  </w:style>
  <w:style w:type="paragraph" w:customStyle="1" w:styleId="9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character" w:customStyle="1" w:styleId="92">
    <w:name w:val="s10pv000000"/>
    <w:basedOn w:val="50"/>
    <w:qFormat/>
    <w:uiPriority w:val="0"/>
  </w:style>
  <w:style w:type="paragraph" w:customStyle="1" w:styleId="93">
    <w:name w:val="Default"/>
    <w:link w:val="113"/>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94">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6">
    <w:name w:val="标题A"/>
    <w:basedOn w:val="1"/>
    <w:qFormat/>
    <w:uiPriority w:val="0"/>
    <w:pPr>
      <w:autoSpaceDE w:val="0"/>
      <w:autoSpaceDN w:val="0"/>
      <w:adjustRightInd w:val="0"/>
      <w:ind w:left="720" w:right="-866"/>
      <w:jc w:val="left"/>
      <w:textAlignment w:val="baseline"/>
    </w:pPr>
    <w:rPr>
      <w:rFonts w:hAnsi="Arial" w:eastAsia="黑体"/>
      <w:i/>
      <w:kern w:val="0"/>
      <w:sz w:val="28"/>
      <w:szCs w:val="20"/>
    </w:rPr>
  </w:style>
  <w:style w:type="character" w:customStyle="1" w:styleId="97">
    <w:name w:val="*正文 Char"/>
    <w:link w:val="98"/>
    <w:qFormat/>
    <w:uiPriority w:val="0"/>
    <w:rPr>
      <w:rFonts w:ascii="仿宋_GB2312"/>
      <w:sz w:val="24"/>
      <w:szCs w:val="28"/>
    </w:rPr>
  </w:style>
  <w:style w:type="paragraph" w:customStyle="1" w:styleId="98">
    <w:name w:val="*正文"/>
    <w:basedOn w:val="1"/>
    <w:link w:val="97"/>
    <w:qFormat/>
    <w:uiPriority w:val="0"/>
    <w:pPr>
      <w:widowControl/>
      <w:spacing w:line="360" w:lineRule="auto"/>
      <w:ind w:firstLine="200" w:firstLineChars="200"/>
      <w:jc w:val="left"/>
    </w:pPr>
    <w:rPr>
      <w:rFonts w:ascii="仿宋_GB2312" w:hAnsiTheme="minorHAnsi" w:eastAsiaTheme="minorEastAsia" w:cstheme="minorBidi"/>
      <w:sz w:val="24"/>
      <w:szCs w:val="28"/>
    </w:rPr>
  </w:style>
  <w:style w:type="character" w:customStyle="1" w:styleId="99">
    <w:name w:val="active"/>
    <w:qFormat/>
    <w:uiPriority w:val="0"/>
    <w:rPr>
      <w:color w:val="FFFFFF"/>
    </w:rPr>
  </w:style>
  <w:style w:type="character" w:customStyle="1" w:styleId="100">
    <w:name w:val="0级 Char"/>
    <w:link w:val="101"/>
    <w:qFormat/>
    <w:uiPriority w:val="0"/>
    <w:rPr>
      <w:rFonts w:ascii="宋体" w:hAnsi="宋体"/>
      <w:color w:val="000000"/>
      <w:szCs w:val="21"/>
    </w:rPr>
  </w:style>
  <w:style w:type="paragraph" w:customStyle="1" w:styleId="101">
    <w:name w:val="0级"/>
    <w:basedOn w:val="1"/>
    <w:link w:val="100"/>
    <w:qFormat/>
    <w:uiPriority w:val="0"/>
    <w:pPr>
      <w:ind w:left="420" w:hanging="420"/>
    </w:pPr>
    <w:rPr>
      <w:rFonts w:ascii="宋体" w:hAnsi="宋体" w:eastAsiaTheme="minorEastAsia" w:cstheme="minorBidi"/>
      <w:color w:val="000000"/>
      <w:szCs w:val="21"/>
    </w:rPr>
  </w:style>
  <w:style w:type="character" w:customStyle="1" w:styleId="102">
    <w:name w:val="标题 5 字符"/>
    <w:basedOn w:val="50"/>
    <w:link w:val="6"/>
    <w:qFormat/>
    <w:uiPriority w:val="0"/>
    <w:rPr>
      <w:rFonts w:ascii="Calibri" w:hAnsi="Calibri" w:eastAsia="宋体" w:cs="Times New Roman"/>
      <w:b/>
      <w:sz w:val="28"/>
      <w:szCs w:val="20"/>
    </w:rPr>
  </w:style>
  <w:style w:type="character" w:customStyle="1" w:styleId="103">
    <w:name w:val="标题 6 字符"/>
    <w:basedOn w:val="50"/>
    <w:link w:val="8"/>
    <w:qFormat/>
    <w:uiPriority w:val="0"/>
    <w:rPr>
      <w:rFonts w:ascii="Arial" w:hAnsi="Arial" w:eastAsia="黑体" w:cs="Times New Roman"/>
      <w:b/>
      <w:sz w:val="24"/>
      <w:szCs w:val="20"/>
    </w:rPr>
  </w:style>
  <w:style w:type="character" w:customStyle="1" w:styleId="104">
    <w:name w:val="标题 7 字符"/>
    <w:basedOn w:val="50"/>
    <w:link w:val="9"/>
    <w:qFormat/>
    <w:uiPriority w:val="0"/>
    <w:rPr>
      <w:rFonts w:ascii="Calibri" w:hAnsi="Calibri" w:eastAsia="宋体" w:cs="Times New Roman"/>
      <w:b/>
      <w:sz w:val="24"/>
      <w:szCs w:val="20"/>
    </w:rPr>
  </w:style>
  <w:style w:type="character" w:customStyle="1" w:styleId="105">
    <w:name w:val="标题 8 字符"/>
    <w:basedOn w:val="50"/>
    <w:link w:val="10"/>
    <w:qFormat/>
    <w:uiPriority w:val="0"/>
    <w:rPr>
      <w:rFonts w:ascii="Arial" w:hAnsi="Arial" w:eastAsia="黑体" w:cs="Times New Roman"/>
      <w:sz w:val="24"/>
      <w:szCs w:val="20"/>
    </w:rPr>
  </w:style>
  <w:style w:type="character" w:customStyle="1" w:styleId="106">
    <w:name w:val="标题 9 字符"/>
    <w:basedOn w:val="50"/>
    <w:link w:val="11"/>
    <w:qFormat/>
    <w:uiPriority w:val="0"/>
    <w:rPr>
      <w:rFonts w:ascii="Arial" w:hAnsi="Arial" w:eastAsia="黑体" w:cs="Times New Roman"/>
      <w:szCs w:val="20"/>
    </w:rPr>
  </w:style>
  <w:style w:type="character" w:customStyle="1" w:styleId="107">
    <w:name w:val="正文首行缩进 Char"/>
    <w:qFormat/>
    <w:uiPriority w:val="0"/>
    <w:rPr>
      <w:rFonts w:ascii="Verdana" w:hAnsi="Verdana" w:eastAsia="仿宋_GB2312"/>
      <w:szCs w:val="24"/>
      <w:lang w:eastAsia="en-US"/>
    </w:rPr>
  </w:style>
  <w:style w:type="character" w:customStyle="1" w:styleId="108">
    <w:name w:val="main1"/>
    <w:qFormat/>
    <w:uiPriority w:val="0"/>
    <w:rPr>
      <w:color w:val="333333"/>
      <w:sz w:val="24"/>
      <w:szCs w:val="24"/>
    </w:rPr>
  </w:style>
  <w:style w:type="character" w:customStyle="1" w:styleId="109">
    <w:name w:val="font61"/>
    <w:qFormat/>
    <w:uiPriority w:val="0"/>
    <w:rPr>
      <w:rFonts w:hint="eastAsia" w:ascii="宋体" w:hAnsi="宋体" w:eastAsia="宋体" w:cs="宋体"/>
      <w:color w:val="000000"/>
      <w:sz w:val="18"/>
      <w:szCs w:val="18"/>
      <w:u w:val="none"/>
    </w:rPr>
  </w:style>
  <w:style w:type="character" w:customStyle="1" w:styleId="110">
    <w:name w:val="content1"/>
    <w:qFormat/>
    <w:uiPriority w:val="0"/>
    <w:rPr>
      <w:rFonts w:hint="default" w:ascii="ˎ̥" w:hAnsi="ˎ̥"/>
      <w:color w:val="000000"/>
      <w:sz w:val="22"/>
      <w:u w:val="none"/>
    </w:rPr>
  </w:style>
  <w:style w:type="character" w:customStyle="1" w:styleId="111">
    <w:name w:val="bodycopy1"/>
    <w:qFormat/>
    <w:uiPriority w:val="0"/>
    <w:rPr>
      <w:rFonts w:hint="default" w:ascii="Arial" w:hAnsi="Arial"/>
      <w:color w:val="000000"/>
      <w:sz w:val="18"/>
      <w:u w:val="none"/>
    </w:rPr>
  </w:style>
  <w:style w:type="character" w:customStyle="1" w:styleId="112">
    <w:name w:val="fielderror"/>
    <w:qFormat/>
    <w:uiPriority w:val="0"/>
    <w:rPr>
      <w:color w:val="800000"/>
    </w:rPr>
  </w:style>
  <w:style w:type="character" w:customStyle="1" w:styleId="113">
    <w:name w:val="Default Char"/>
    <w:link w:val="93"/>
    <w:qFormat/>
    <w:uiPriority w:val="0"/>
    <w:rPr>
      <w:rFonts w:ascii="宋体" w:eastAsia="宋体" w:cs="宋体"/>
      <w:color w:val="000000"/>
      <w:kern w:val="0"/>
      <w:sz w:val="24"/>
      <w:szCs w:val="24"/>
    </w:rPr>
  </w:style>
  <w:style w:type="character" w:customStyle="1" w:styleId="114">
    <w:name w:val="标题 2 Char3"/>
    <w:qFormat/>
    <w:uiPriority w:val="9"/>
    <w:rPr>
      <w:bCs/>
      <w:sz w:val="24"/>
    </w:rPr>
  </w:style>
  <w:style w:type="character" w:customStyle="1" w:styleId="115">
    <w:name w:val="文档结构图 Char1"/>
    <w:qFormat/>
    <w:uiPriority w:val="0"/>
    <w:rPr>
      <w:kern w:val="2"/>
      <w:sz w:val="21"/>
      <w:szCs w:val="24"/>
      <w:shd w:val="clear" w:color="auto" w:fill="000080"/>
    </w:rPr>
  </w:style>
  <w:style w:type="character" w:customStyle="1" w:styleId="116">
    <w:name w:val="active6"/>
    <w:qFormat/>
    <w:uiPriority w:val="0"/>
    <w:rPr>
      <w:color w:val="FFFFFF"/>
    </w:rPr>
  </w:style>
  <w:style w:type="character" w:customStyle="1" w:styleId="117">
    <w:name w:val="批注框文本 字符"/>
    <w:qFormat/>
    <w:uiPriority w:val="0"/>
    <w:rPr>
      <w:rFonts w:eastAsia="宋体"/>
      <w:kern w:val="2"/>
      <w:sz w:val="18"/>
      <w:szCs w:val="18"/>
      <w:lang w:val="en-US" w:eastAsia="zh-CN" w:bidi="ar-SA"/>
    </w:rPr>
  </w:style>
  <w:style w:type="character" w:customStyle="1" w:styleId="118">
    <w:name w:val="font31"/>
    <w:qFormat/>
    <w:uiPriority w:val="0"/>
    <w:rPr>
      <w:rFonts w:hint="eastAsia" w:ascii="宋体" w:hAnsi="宋体" w:eastAsia="宋体" w:cs="宋体"/>
      <w:color w:val="000000"/>
      <w:sz w:val="20"/>
      <w:szCs w:val="20"/>
      <w:u w:val="none"/>
    </w:rPr>
  </w:style>
  <w:style w:type="character" w:customStyle="1" w:styleId="119">
    <w:name w:val="正文缩进 Char2"/>
    <w:qFormat/>
    <w:uiPriority w:val="0"/>
    <w:rPr>
      <w:kern w:val="2"/>
      <w:sz w:val="21"/>
    </w:rPr>
  </w:style>
  <w:style w:type="character" w:customStyle="1" w:styleId="120">
    <w:name w:val="标题 2 Char1"/>
    <w:qFormat/>
    <w:uiPriority w:val="9"/>
    <w:rPr>
      <w:bCs/>
      <w:sz w:val="24"/>
    </w:rPr>
  </w:style>
  <w:style w:type="character" w:customStyle="1" w:styleId="121">
    <w:name w:val="hilite5"/>
    <w:qFormat/>
    <w:uiPriority w:val="0"/>
    <w:rPr>
      <w:color w:val="000000"/>
    </w:rPr>
  </w:style>
  <w:style w:type="character" w:customStyle="1" w:styleId="122">
    <w:name w:val="text_edit editable-title"/>
    <w:basedOn w:val="50"/>
    <w:qFormat/>
    <w:uiPriority w:val="0"/>
    <w:rPr>
      <w:rFonts w:ascii="Verdana" w:hAnsi="Verdana" w:eastAsia="仿宋_GB2312"/>
      <w:kern w:val="0"/>
      <w:sz w:val="24"/>
      <w:szCs w:val="20"/>
      <w:lang w:eastAsia="en-US"/>
    </w:rPr>
  </w:style>
  <w:style w:type="character" w:customStyle="1" w:styleId="123">
    <w:name w:val="消息标题号"/>
    <w:qFormat/>
    <w:uiPriority w:val="0"/>
    <w:rPr>
      <w:rFonts w:ascii="Arial" w:hAnsi="Arial" w:eastAsia="楷体_GB2312"/>
      <w:b/>
      <w:bCs/>
      <w:spacing w:val="-4"/>
      <w:sz w:val="18"/>
      <w:szCs w:val="18"/>
      <w:lang w:eastAsia="zh-CN"/>
    </w:rPr>
  </w:style>
  <w:style w:type="character" w:customStyle="1" w:styleId="124">
    <w:name w:val="active4"/>
    <w:qFormat/>
    <w:uiPriority w:val="0"/>
    <w:rPr>
      <w:color w:val="FFFFFF"/>
    </w:rPr>
  </w:style>
  <w:style w:type="character" w:customStyle="1" w:styleId="125">
    <w:name w:val="Char Char Char Char Char Char"/>
    <w:link w:val="126"/>
    <w:qFormat/>
    <w:uiPriority w:val="0"/>
    <w:rPr>
      <w:rFonts w:ascii="Verdana" w:hAnsi="Verdana" w:eastAsia="仿宋_GB2312"/>
      <w:sz w:val="24"/>
      <w:lang w:eastAsia="en-US"/>
    </w:rPr>
  </w:style>
  <w:style w:type="paragraph" w:customStyle="1" w:styleId="126">
    <w:name w:val="Char Char Char Char2"/>
    <w:basedOn w:val="1"/>
    <w:link w:val="125"/>
    <w:qFormat/>
    <w:uiPriority w:val="0"/>
    <w:pPr>
      <w:widowControl/>
      <w:spacing w:after="160" w:line="240" w:lineRule="exact"/>
      <w:jc w:val="left"/>
    </w:pPr>
    <w:rPr>
      <w:rFonts w:ascii="Verdana" w:hAnsi="Verdana" w:eastAsia="仿宋_GB2312" w:cstheme="minorBidi"/>
      <w:sz w:val="24"/>
      <w:szCs w:val="22"/>
      <w:lang w:eastAsia="en-US"/>
    </w:rPr>
  </w:style>
  <w:style w:type="character" w:customStyle="1" w:styleId="127">
    <w:name w:val="font71"/>
    <w:qFormat/>
    <w:uiPriority w:val="0"/>
    <w:rPr>
      <w:rFonts w:hint="eastAsia" w:ascii="宋体" w:hAnsi="宋体" w:eastAsia="宋体" w:cs="宋体"/>
      <w:color w:val="000000"/>
      <w:sz w:val="16"/>
      <w:szCs w:val="16"/>
      <w:u w:val="none"/>
    </w:rPr>
  </w:style>
  <w:style w:type="character" w:customStyle="1" w:styleId="128">
    <w:name w:val="称呼 Char"/>
    <w:qFormat/>
    <w:uiPriority w:val="0"/>
    <w:rPr>
      <w:rFonts w:ascii="Verdana" w:hAnsi="Verdana" w:eastAsia="仿宋_GB2312"/>
      <w:sz w:val="24"/>
      <w:szCs w:val="20"/>
      <w:lang w:eastAsia="en-US"/>
    </w:rPr>
  </w:style>
  <w:style w:type="character" w:customStyle="1" w:styleId="129">
    <w:name w:val="标题 4 Char1"/>
    <w:qFormat/>
    <w:uiPriority w:val="0"/>
    <w:rPr>
      <w:rFonts w:ascii="Arial" w:hAnsi="Arial" w:eastAsia="黑体"/>
      <w:b/>
      <w:bCs/>
      <w:kern w:val="2"/>
      <w:sz w:val="28"/>
      <w:szCs w:val="28"/>
      <w:lang w:val="en-US" w:eastAsia="zh-CN" w:bidi="ar-SA"/>
    </w:rPr>
  </w:style>
  <w:style w:type="character" w:customStyle="1" w:styleId="130">
    <w:name w:val="正文缩进 字符"/>
    <w:qFormat/>
    <w:uiPriority w:val="0"/>
    <w:rPr>
      <w:rFonts w:ascii="Arial" w:hAnsi="Arial" w:eastAsia="宋体"/>
      <w:kern w:val="2"/>
      <w:sz w:val="21"/>
      <w:szCs w:val="24"/>
      <w:lang w:val="en-US" w:eastAsia="zh-CN" w:bidi="ar-SA"/>
    </w:rPr>
  </w:style>
  <w:style w:type="character" w:customStyle="1" w:styleId="131">
    <w:name w:val="apple-style-span"/>
    <w:basedOn w:val="50"/>
    <w:qFormat/>
    <w:uiPriority w:val="0"/>
    <w:rPr>
      <w:rFonts w:ascii="Verdana" w:hAnsi="Verdana" w:eastAsia="仿宋_GB2312"/>
      <w:kern w:val="0"/>
      <w:sz w:val="24"/>
      <w:szCs w:val="20"/>
      <w:lang w:eastAsia="en-US"/>
    </w:rPr>
  </w:style>
  <w:style w:type="character" w:customStyle="1" w:styleId="132">
    <w:name w:val="font51"/>
    <w:qFormat/>
    <w:uiPriority w:val="0"/>
    <w:rPr>
      <w:rFonts w:hint="eastAsia" w:ascii="宋体" w:hAnsi="宋体" w:eastAsia="宋体" w:cs="宋体"/>
      <w:color w:val="000000"/>
      <w:sz w:val="18"/>
      <w:szCs w:val="18"/>
      <w:u w:val="none"/>
    </w:rPr>
  </w:style>
  <w:style w:type="character" w:customStyle="1" w:styleId="133">
    <w:name w:val="hilite4"/>
    <w:qFormat/>
    <w:uiPriority w:val="0"/>
    <w:rPr>
      <w:color w:val="000000"/>
    </w:rPr>
  </w:style>
  <w:style w:type="character" w:customStyle="1" w:styleId="134">
    <w:name w:val="正文文本 Char1"/>
    <w:qFormat/>
    <w:uiPriority w:val="0"/>
    <w:rPr>
      <w:rFonts w:ascii="Verdana" w:hAnsi="Verdana" w:eastAsia="仿宋_GB2312"/>
      <w:b/>
      <w:bCs/>
      <w:kern w:val="2"/>
      <w:sz w:val="24"/>
      <w:szCs w:val="24"/>
      <w:lang w:eastAsia="en-US"/>
    </w:rPr>
  </w:style>
  <w:style w:type="character" w:customStyle="1" w:styleId="135">
    <w:name w:val="font21"/>
    <w:qFormat/>
    <w:uiPriority w:val="0"/>
    <w:rPr>
      <w:rFonts w:hint="eastAsia" w:ascii="宋体" w:hAnsi="宋体" w:eastAsia="宋体" w:cs="宋体"/>
      <w:b/>
      <w:color w:val="FF0000"/>
      <w:sz w:val="20"/>
      <w:szCs w:val="20"/>
      <w:u w:val="none"/>
    </w:rPr>
  </w:style>
  <w:style w:type="character" w:customStyle="1" w:styleId="136">
    <w:name w:val="标题 2 Char4"/>
    <w:qFormat/>
    <w:uiPriority w:val="9"/>
    <w:rPr>
      <w:bCs/>
      <w:sz w:val="24"/>
    </w:rPr>
  </w:style>
  <w:style w:type="character" w:customStyle="1" w:styleId="137">
    <w:name w:val="font01"/>
    <w:qFormat/>
    <w:uiPriority w:val="0"/>
    <w:rPr>
      <w:rFonts w:hint="eastAsia" w:ascii="宋体" w:hAnsi="宋体" w:eastAsia="宋体" w:cs="宋体"/>
      <w:b/>
      <w:color w:val="FF0000"/>
      <w:sz w:val="22"/>
      <w:szCs w:val="22"/>
      <w:u w:val="none"/>
    </w:rPr>
  </w:style>
  <w:style w:type="character" w:customStyle="1" w:styleId="138">
    <w:name w:val="正文文本缩进 Char"/>
    <w:qFormat/>
    <w:uiPriority w:val="0"/>
    <w:rPr>
      <w:kern w:val="2"/>
      <w:sz w:val="21"/>
      <w:szCs w:val="24"/>
    </w:rPr>
  </w:style>
  <w:style w:type="character" w:customStyle="1" w:styleId="139">
    <w:name w:val="标题 2 Char2"/>
    <w:qFormat/>
    <w:uiPriority w:val="0"/>
    <w:rPr>
      <w:rFonts w:ascii="Times New Roman" w:hAnsi="Times New Roman" w:eastAsia="宋体" w:cs="Times New Roman"/>
      <w:bCs/>
      <w:kern w:val="0"/>
      <w:sz w:val="24"/>
      <w:szCs w:val="20"/>
    </w:rPr>
  </w:style>
  <w:style w:type="character" w:customStyle="1" w:styleId="140">
    <w:name w:val="页脚 Char2"/>
    <w:qFormat/>
    <w:uiPriority w:val="0"/>
    <w:rPr>
      <w:kern w:val="2"/>
      <w:sz w:val="18"/>
      <w:szCs w:val="18"/>
    </w:rPr>
  </w:style>
  <w:style w:type="character" w:customStyle="1" w:styleId="141">
    <w:name w:val="批注文字 Char1"/>
    <w:qFormat/>
    <w:uiPriority w:val="0"/>
    <w:rPr>
      <w:rFonts w:ascii="宋体" w:hAnsi="Verdana" w:eastAsia="仿宋_GB2312"/>
      <w:kern w:val="0"/>
      <w:sz w:val="34"/>
      <w:szCs w:val="20"/>
      <w:lang w:eastAsia="en-US"/>
    </w:rPr>
  </w:style>
  <w:style w:type="character" w:customStyle="1" w:styleId="142">
    <w:name w:val="标题 3 Char1"/>
    <w:qFormat/>
    <w:uiPriority w:val="0"/>
    <w:rPr>
      <w:rFonts w:ascii="宋体" w:hAnsi="宋体" w:eastAsia="宋体" w:cs="Times New Roman"/>
      <w:b/>
      <w:bCs/>
      <w:sz w:val="28"/>
      <w:szCs w:val="32"/>
    </w:rPr>
  </w:style>
  <w:style w:type="character" w:customStyle="1" w:styleId="143">
    <w:name w:val="标题 3 Char2"/>
    <w:qFormat/>
    <w:uiPriority w:val="0"/>
    <w:rPr>
      <w:rFonts w:ascii="宋体" w:hAnsi="宋体" w:eastAsia="宋体"/>
      <w:b/>
      <w:bCs/>
      <w:kern w:val="2"/>
      <w:sz w:val="28"/>
      <w:szCs w:val="32"/>
      <w:lang w:val="en-US" w:eastAsia="zh-CN" w:bidi="ar-SA"/>
    </w:rPr>
  </w:style>
  <w:style w:type="character" w:customStyle="1" w:styleId="144">
    <w:name w:val="headline-content2"/>
    <w:basedOn w:val="50"/>
    <w:qFormat/>
    <w:uiPriority w:val="0"/>
    <w:rPr>
      <w:rFonts w:ascii="Verdana" w:hAnsi="Verdana" w:eastAsia="仿宋_GB2312"/>
      <w:kern w:val="0"/>
      <w:sz w:val="24"/>
      <w:szCs w:val="20"/>
      <w:lang w:eastAsia="en-US"/>
    </w:rPr>
  </w:style>
  <w:style w:type="character" w:customStyle="1" w:styleId="145">
    <w:name w:val="批注框文本 Char1"/>
    <w:qFormat/>
    <w:uiPriority w:val="0"/>
    <w:rPr>
      <w:rFonts w:ascii="Verdana" w:hAnsi="Verdana" w:eastAsia="仿宋_GB2312"/>
      <w:kern w:val="2"/>
      <w:sz w:val="18"/>
      <w:szCs w:val="18"/>
      <w:lang w:eastAsia="en-US"/>
    </w:rPr>
  </w:style>
  <w:style w:type="character" w:customStyle="1" w:styleId="146">
    <w:name w:val="页脚 Char1"/>
    <w:qFormat/>
    <w:uiPriority w:val="0"/>
    <w:rPr>
      <w:kern w:val="2"/>
      <w:sz w:val="18"/>
      <w:szCs w:val="18"/>
    </w:rPr>
  </w:style>
  <w:style w:type="character" w:customStyle="1" w:styleId="147">
    <w:name w:val="标题 2 Char Char"/>
    <w:qFormat/>
    <w:uiPriority w:val="0"/>
    <w:rPr>
      <w:rFonts w:ascii="Arial" w:hAnsi="Arial" w:eastAsia="黑体"/>
      <w:bCs/>
      <w:kern w:val="2"/>
      <w:sz w:val="28"/>
      <w:szCs w:val="32"/>
      <w:lang w:val="en-US" w:eastAsia="zh-CN" w:bidi="ar-SA"/>
    </w:rPr>
  </w:style>
  <w:style w:type="character" w:customStyle="1" w:styleId="148">
    <w:name w:val="inline-help"/>
    <w:basedOn w:val="50"/>
    <w:qFormat/>
    <w:uiPriority w:val="0"/>
    <w:rPr>
      <w:rFonts w:ascii="Verdana" w:hAnsi="Verdana" w:eastAsia="仿宋_GB2312"/>
      <w:kern w:val="0"/>
      <w:sz w:val="24"/>
      <w:szCs w:val="20"/>
      <w:lang w:eastAsia="en-US"/>
    </w:rPr>
  </w:style>
  <w:style w:type="character" w:customStyle="1" w:styleId="149">
    <w:name w:val="font41"/>
    <w:qFormat/>
    <w:uiPriority w:val="0"/>
    <w:rPr>
      <w:rFonts w:hint="eastAsia" w:ascii="宋体" w:hAnsi="宋体" w:eastAsia="宋体" w:cs="宋体"/>
      <w:color w:val="000000"/>
      <w:sz w:val="20"/>
      <w:szCs w:val="20"/>
      <w:u w:val="none"/>
    </w:rPr>
  </w:style>
  <w:style w:type="character" w:customStyle="1" w:styleId="150">
    <w:name w:val="正文首行缩进 2 Char"/>
    <w:basedOn w:val="138"/>
    <w:qFormat/>
    <w:uiPriority w:val="0"/>
    <w:rPr>
      <w:kern w:val="2"/>
      <w:sz w:val="21"/>
      <w:szCs w:val="24"/>
    </w:rPr>
  </w:style>
  <w:style w:type="character" w:customStyle="1" w:styleId="151">
    <w:name w:val="v91"/>
    <w:qFormat/>
    <w:uiPriority w:val="0"/>
    <w:rPr>
      <w:sz w:val="18"/>
      <w:szCs w:val="18"/>
    </w:rPr>
  </w:style>
  <w:style w:type="character" w:customStyle="1" w:styleId="152">
    <w:name w:val="hilite6"/>
    <w:qFormat/>
    <w:uiPriority w:val="0"/>
    <w:rPr>
      <w:color w:val="000000"/>
    </w:rPr>
  </w:style>
  <w:style w:type="character" w:customStyle="1" w:styleId="153">
    <w:name w:val="正文缩进 Char3"/>
    <w:qFormat/>
    <w:uiPriority w:val="0"/>
    <w:rPr>
      <w:rFonts w:eastAsia="宋体"/>
      <w:kern w:val="2"/>
      <w:sz w:val="21"/>
      <w:lang w:val="en-US" w:eastAsia="zh-CN" w:bidi="ar-SA"/>
    </w:rPr>
  </w:style>
  <w:style w:type="character" w:customStyle="1" w:styleId="154">
    <w:name w:val="hilite"/>
    <w:qFormat/>
    <w:uiPriority w:val="0"/>
    <w:rPr>
      <w:color w:val="000000"/>
    </w:rPr>
  </w:style>
  <w:style w:type="character" w:customStyle="1" w:styleId="155">
    <w:name w:val="p12"/>
    <w:basedOn w:val="50"/>
    <w:qFormat/>
    <w:uiPriority w:val="0"/>
    <w:rPr>
      <w:rFonts w:ascii="Verdana" w:hAnsi="Verdana" w:eastAsia="仿宋_GB2312"/>
      <w:kern w:val="0"/>
      <w:sz w:val="24"/>
      <w:szCs w:val="20"/>
      <w:lang w:eastAsia="en-US"/>
    </w:rPr>
  </w:style>
  <w:style w:type="paragraph" w:customStyle="1" w:styleId="156">
    <w:name w:val="xl58"/>
    <w:basedOn w:val="1"/>
    <w:qFormat/>
    <w:uiPriority w:val="0"/>
    <w:pPr>
      <w:widowControl/>
      <w:pBdr>
        <w:top w:val="single" w:color="auto" w:sz="4" w:space="0"/>
        <w:left w:val="single" w:color="auto" w:sz="8" w:space="0"/>
        <w:bottom w:val="single" w:color="auto" w:sz="4" w:space="0"/>
        <w:right w:val="single" w:color="auto" w:sz="4" w:space="0"/>
      </w:pBdr>
      <w:shd w:val="clear" w:color="auto" w:fill="CCFFCC"/>
      <w:spacing w:before="100" w:beforeAutospacing="1" w:after="100" w:afterAutospacing="1"/>
      <w:jc w:val="right"/>
      <w:textAlignment w:val="bottom"/>
    </w:pPr>
    <w:rPr>
      <w:rFonts w:ascii="Arial Unicode MS" w:hAnsi="Arial Unicode MS" w:eastAsia="Arial Unicode MS" w:cs="Arial Unicode MS"/>
      <w:kern w:val="0"/>
      <w:sz w:val="20"/>
      <w:szCs w:val="20"/>
    </w:rPr>
  </w:style>
  <w:style w:type="paragraph" w:customStyle="1" w:styleId="157">
    <w:name w:val="xl88"/>
    <w:basedOn w:val="1"/>
    <w:qFormat/>
    <w:uiPriority w:val="0"/>
    <w:pPr>
      <w:widowControl/>
      <w:pBdr>
        <w:top w:val="single" w:color="auto" w:sz="4" w:space="0"/>
        <w:left w:val="single" w:color="auto" w:sz="4" w:space="0"/>
        <w:bottom w:val="single" w:color="auto" w:sz="8" w:space="0"/>
        <w:right w:val="single" w:color="auto" w:sz="8" w:space="0"/>
      </w:pBdr>
      <w:shd w:val="clear" w:color="auto" w:fill="FFCC99"/>
      <w:spacing w:before="100" w:beforeAutospacing="1" w:after="100" w:afterAutospacing="1"/>
      <w:jc w:val="right"/>
      <w:textAlignment w:val="bottom"/>
    </w:pPr>
    <w:rPr>
      <w:rFonts w:hint="eastAsia" w:ascii="黑体" w:hAnsi="Arial Unicode MS" w:eastAsia="黑体" w:cs="Arial Unicode MS"/>
      <w:b/>
      <w:bCs/>
      <w:kern w:val="0"/>
      <w:sz w:val="24"/>
    </w:rPr>
  </w:style>
  <w:style w:type="paragraph" w:customStyle="1" w:styleId="158">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paragraph" w:customStyle="1" w:styleId="159">
    <w:name w:val="xl60"/>
    <w:basedOn w:val="1"/>
    <w:qFormat/>
    <w:uiPriority w:val="0"/>
    <w:pPr>
      <w:widowControl/>
      <w:pBdr>
        <w:top w:val="single" w:color="auto" w:sz="4" w:space="0"/>
        <w:left w:val="single" w:color="auto" w:sz="8" w:space="0"/>
        <w:bottom w:val="single" w:color="auto" w:sz="4" w:space="0"/>
      </w:pBdr>
      <w:spacing w:before="100" w:beforeAutospacing="1" w:after="100" w:afterAutospacing="1"/>
      <w:jc w:val="center"/>
      <w:textAlignment w:val="bottom"/>
    </w:pPr>
    <w:rPr>
      <w:rFonts w:hint="eastAsia" w:ascii="黑体" w:hAnsi="Arial Unicode MS" w:eastAsia="黑体" w:cs="Arial Unicode MS"/>
      <w:b/>
      <w:bCs/>
      <w:color w:val="333399"/>
      <w:kern w:val="0"/>
      <w:sz w:val="24"/>
    </w:rPr>
  </w:style>
  <w:style w:type="paragraph" w:customStyle="1" w:styleId="160">
    <w:name w:val="样式 标题 + (中文) 黑体 五号 非加粗 段前: 6 磅 段后: 6 磅"/>
    <w:basedOn w:val="44"/>
    <w:qFormat/>
    <w:uiPriority w:val="0"/>
    <w:pPr>
      <w:adjustRightInd w:val="0"/>
      <w:snapToGrid w:val="0"/>
      <w:spacing w:before="0" w:after="0" w:line="600" w:lineRule="exact"/>
      <w:outlineLvl w:val="9"/>
    </w:pPr>
    <w:rPr>
      <w:rFonts w:ascii="黑体" w:hAnsi="Times New Roman" w:eastAsia="黑体" w:cs="Times New Roman"/>
      <w:b w:val="0"/>
      <w:bCs w:val="0"/>
      <w:szCs w:val="20"/>
    </w:rPr>
  </w:style>
  <w:style w:type="paragraph" w:customStyle="1" w:styleId="161">
    <w:name w:val="段落"/>
    <w:basedOn w:val="1"/>
    <w:qFormat/>
    <w:uiPriority w:val="0"/>
    <w:pPr>
      <w:spacing w:before="120" w:after="120" w:line="0" w:lineRule="atLeast"/>
      <w:ind w:firstLine="567"/>
    </w:pPr>
    <w:rPr>
      <w:rFonts w:ascii="Calibri" w:hAnsi="Calibri"/>
      <w:sz w:val="28"/>
      <w:szCs w:val="20"/>
    </w:rPr>
  </w:style>
  <w:style w:type="paragraph" w:customStyle="1" w:styleId="162">
    <w:name w:val="xl67"/>
    <w:basedOn w:val="1"/>
    <w:qFormat/>
    <w:uiPriority w:val="0"/>
    <w:pPr>
      <w:widowControl/>
      <w:pBdr>
        <w:top w:val="single" w:color="auto" w:sz="4" w:space="0"/>
        <w:bottom w:val="single" w:color="auto" w:sz="4" w:space="0"/>
      </w:pBdr>
      <w:spacing w:before="100" w:beforeAutospacing="1" w:after="100" w:afterAutospacing="1"/>
      <w:jc w:val="center"/>
      <w:textAlignment w:val="bottom"/>
    </w:pPr>
    <w:rPr>
      <w:rFonts w:hint="eastAsia" w:ascii="黑体" w:hAnsi="Arial Unicode MS" w:eastAsia="黑体" w:cs="Arial Unicode MS"/>
      <w:color w:val="000080"/>
      <w:kern w:val="0"/>
      <w:sz w:val="24"/>
    </w:rPr>
  </w:style>
  <w:style w:type="paragraph" w:customStyle="1" w:styleId="163">
    <w:name w:val="说明文字"/>
    <w:qFormat/>
    <w:uiPriority w:val="0"/>
    <w:pPr>
      <w:widowControl w:val="0"/>
      <w:autoSpaceDE w:val="0"/>
      <w:autoSpaceDN w:val="0"/>
      <w:adjustRightInd w:val="0"/>
      <w:spacing w:line="400" w:lineRule="atLeast"/>
      <w:ind w:firstLine="425"/>
      <w:jc w:val="both"/>
    </w:pPr>
    <w:rPr>
      <w:rFonts w:ascii="文鼎CS楷体" w:hAnsi="Calibri" w:eastAsia="文鼎CS楷体" w:cs="Times New Roman"/>
      <w:color w:val="000000"/>
      <w:sz w:val="22"/>
      <w:szCs w:val="22"/>
      <w:lang w:val="en-US" w:eastAsia="zh-CN" w:bidi="ar-SA"/>
    </w:rPr>
  </w:style>
  <w:style w:type="paragraph" w:customStyle="1" w:styleId="164">
    <w:name w:val="xl76"/>
    <w:basedOn w:val="1"/>
    <w:qFormat/>
    <w:uiPriority w:val="0"/>
    <w:pPr>
      <w:widowControl/>
      <w:pBdr>
        <w:top w:val="single" w:color="auto" w:sz="4" w:space="0"/>
        <w:bottom w:val="single" w:color="auto" w:sz="4" w:space="0"/>
        <w:right w:val="single" w:color="auto" w:sz="4" w:space="0"/>
      </w:pBdr>
      <w:shd w:val="clear" w:color="auto" w:fill="CCFFFF"/>
      <w:spacing w:before="100" w:beforeAutospacing="1" w:after="100" w:afterAutospacing="1"/>
      <w:jc w:val="right"/>
      <w:textAlignment w:val="bottom"/>
    </w:pPr>
    <w:rPr>
      <w:rFonts w:ascii="Arial Unicode MS" w:hAnsi="Arial Unicode MS" w:eastAsia="Arial Unicode MS" w:cs="Arial Unicode MS"/>
      <w:kern w:val="0"/>
      <w:sz w:val="20"/>
      <w:szCs w:val="20"/>
    </w:rPr>
  </w:style>
  <w:style w:type="paragraph" w:customStyle="1" w:styleId="165">
    <w:name w:val="标题6"/>
    <w:basedOn w:val="1"/>
    <w:qFormat/>
    <w:uiPriority w:val="0"/>
    <w:pPr>
      <w:numPr>
        <w:ilvl w:val="0"/>
        <w:numId w:val="3"/>
      </w:numPr>
      <w:tabs>
        <w:tab w:val="left" w:pos="420"/>
      </w:tabs>
      <w:spacing w:line="480" w:lineRule="atLeast"/>
      <w:jc w:val="left"/>
    </w:pPr>
    <w:rPr>
      <w:rFonts w:ascii="Calibri" w:hAnsi="Calibri" w:eastAsia="仿宋_GB2312"/>
      <w:spacing w:val="10"/>
      <w:sz w:val="30"/>
      <w:szCs w:val="20"/>
    </w:rPr>
  </w:style>
  <w:style w:type="paragraph" w:customStyle="1" w:styleId="16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eastAsia="Arial Unicode MS" w:cs="Arial"/>
      <w:kern w:val="0"/>
      <w:sz w:val="20"/>
      <w:szCs w:val="20"/>
    </w:rPr>
  </w:style>
  <w:style w:type="paragraph" w:customStyle="1" w:styleId="16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kern w:val="0"/>
      <w:sz w:val="20"/>
      <w:szCs w:val="20"/>
    </w:rPr>
  </w:style>
  <w:style w:type="paragraph" w:customStyle="1" w:styleId="168">
    <w:name w:val="案例标题"/>
    <w:qFormat/>
    <w:uiPriority w:val="0"/>
    <w:pPr>
      <w:widowControl w:val="0"/>
      <w:autoSpaceDE w:val="0"/>
      <w:autoSpaceDN w:val="0"/>
      <w:adjustRightInd w:val="0"/>
      <w:spacing w:before="57" w:after="57" w:line="400" w:lineRule="atLeast"/>
      <w:jc w:val="center"/>
    </w:pPr>
    <w:rPr>
      <w:rFonts w:ascii="文鼎CS中宋" w:hAnsi="Calibri" w:eastAsia="文鼎CS中宋" w:cs="Times New Roman"/>
      <w:szCs w:val="24"/>
      <w:lang w:val="en-US" w:eastAsia="zh-CN" w:bidi="ar-SA"/>
    </w:rPr>
  </w:style>
  <w:style w:type="paragraph" w:customStyle="1" w:styleId="169">
    <w:name w:val="小标题"/>
    <w:basedOn w:val="1"/>
    <w:qFormat/>
    <w:uiPriority w:val="0"/>
    <w:pPr>
      <w:tabs>
        <w:tab w:val="left" w:pos="720"/>
      </w:tabs>
      <w:spacing w:before="120" w:after="120"/>
      <w:ind w:left="720" w:firstLine="454"/>
    </w:pPr>
    <w:rPr>
      <w:rFonts w:ascii="Calibri" w:hAnsi="Calibri"/>
      <w:b/>
      <w:sz w:val="24"/>
      <w:szCs w:val="20"/>
    </w:rPr>
  </w:style>
  <w:style w:type="paragraph" w:customStyle="1" w:styleId="170">
    <w:name w:val="大大标题"/>
    <w:basedOn w:val="1"/>
    <w:qFormat/>
    <w:uiPriority w:val="0"/>
    <w:pPr>
      <w:autoSpaceDE w:val="0"/>
      <w:autoSpaceDN w:val="0"/>
      <w:adjustRightInd w:val="0"/>
      <w:jc w:val="center"/>
    </w:pPr>
    <w:rPr>
      <w:rFonts w:ascii="黑体" w:hAnsi="Calibri" w:eastAsia="黑体"/>
      <w:kern w:val="0"/>
      <w:sz w:val="32"/>
      <w:szCs w:val="36"/>
    </w:rPr>
  </w:style>
  <w:style w:type="paragraph" w:customStyle="1" w:styleId="171">
    <w:name w:val="xl49"/>
    <w:basedOn w:val="1"/>
    <w:qFormat/>
    <w:uiPriority w:val="0"/>
    <w:pPr>
      <w:widowControl/>
      <w:pBdr>
        <w:top w:val="single" w:color="auto" w:sz="4" w:space="0"/>
        <w:bottom w:val="single" w:color="auto" w:sz="4" w:space="0"/>
      </w:pBdr>
      <w:spacing w:before="100" w:beforeAutospacing="1" w:after="100" w:afterAutospacing="1"/>
      <w:jc w:val="center"/>
      <w:textAlignment w:val="bottom"/>
    </w:pPr>
    <w:rPr>
      <w:rFonts w:hint="eastAsia" w:ascii="黑体" w:hAnsi="Arial Unicode MS" w:eastAsia="黑体" w:cs="Arial Unicode MS"/>
      <w:b/>
      <w:bCs/>
      <w:color w:val="333399"/>
      <w:kern w:val="0"/>
      <w:sz w:val="24"/>
    </w:rPr>
  </w:style>
  <w:style w:type="paragraph" w:customStyle="1" w:styleId="172">
    <w:name w:val="文档正文"/>
    <w:basedOn w:val="1"/>
    <w:qFormat/>
    <w:uiPriority w:val="0"/>
    <w:pPr>
      <w:adjustRightInd w:val="0"/>
      <w:spacing w:line="480" w:lineRule="atLeast"/>
      <w:ind w:firstLine="567" w:firstLineChars="200"/>
      <w:textAlignment w:val="baseline"/>
    </w:pPr>
    <w:rPr>
      <w:rFonts w:ascii="长城仿宋" w:hAnsi="Calibri"/>
      <w:kern w:val="0"/>
      <w:szCs w:val="20"/>
    </w:rPr>
  </w:style>
  <w:style w:type="paragraph" w:customStyle="1" w:styleId="173">
    <w:name w:val="系统表格字体"/>
    <w:basedOn w:val="174"/>
    <w:qFormat/>
    <w:uiPriority w:val="0"/>
    <w:pPr>
      <w:ind w:firstLine="0" w:firstLineChars="0"/>
      <w:jc w:val="center"/>
    </w:pPr>
    <w:rPr>
      <w:rFonts w:ascii="楷体_GB2312" w:eastAsia="楷体_GB2312"/>
      <w:sz w:val="20"/>
    </w:rPr>
  </w:style>
  <w:style w:type="paragraph" w:customStyle="1" w:styleId="174">
    <w:name w:val="系统正文"/>
    <w:basedOn w:val="1"/>
    <w:qFormat/>
    <w:uiPriority w:val="0"/>
    <w:pPr>
      <w:spacing w:line="420" w:lineRule="exact"/>
      <w:ind w:firstLine="420" w:firstLineChars="200"/>
    </w:pPr>
    <w:rPr>
      <w:rFonts w:ascii="宋体" w:hAnsi="宋体"/>
    </w:rPr>
  </w:style>
  <w:style w:type="paragraph" w:customStyle="1" w:styleId="175">
    <w:name w:val="楷体"/>
    <w:basedOn w:val="1"/>
    <w:next w:val="1"/>
    <w:qFormat/>
    <w:uiPriority w:val="0"/>
    <w:pPr>
      <w:autoSpaceDE w:val="0"/>
      <w:autoSpaceDN w:val="0"/>
      <w:adjustRightInd w:val="0"/>
      <w:spacing w:line="420" w:lineRule="atLeast"/>
    </w:pPr>
    <w:rPr>
      <w:rFonts w:ascii="文鼎CS楷体" w:hAnsi="Calibri" w:eastAsia="文鼎CS楷体"/>
      <w:spacing w:val="200"/>
      <w:kern w:val="0"/>
      <w:szCs w:val="21"/>
    </w:rPr>
  </w:style>
  <w:style w:type="paragraph" w:customStyle="1" w:styleId="176">
    <w:name w:val="三级"/>
    <w:basedOn w:val="177"/>
    <w:qFormat/>
    <w:uiPriority w:val="0"/>
  </w:style>
  <w:style w:type="paragraph" w:customStyle="1" w:styleId="177">
    <w:name w:val="二级"/>
    <w:basedOn w:val="1"/>
    <w:qFormat/>
    <w:uiPriority w:val="0"/>
    <w:rPr>
      <w:rFonts w:ascii="宋体" w:hAnsi="宋体"/>
      <w:szCs w:val="21"/>
    </w:rPr>
  </w:style>
  <w:style w:type="paragraph" w:customStyle="1" w:styleId="178">
    <w:name w:val="样式6"/>
    <w:basedOn w:val="1"/>
    <w:qFormat/>
    <w:uiPriority w:val="0"/>
    <w:pPr>
      <w:tabs>
        <w:tab w:val="left" w:pos="360"/>
        <w:tab w:val="left" w:pos="780"/>
        <w:tab w:val="left" w:pos="1077"/>
      </w:tabs>
      <w:spacing w:line="360" w:lineRule="auto"/>
      <w:ind w:left="1077" w:hanging="397"/>
    </w:pPr>
    <w:rPr>
      <w:rFonts w:ascii="Calibri" w:hAnsi="Calibri"/>
      <w:sz w:val="24"/>
      <w:szCs w:val="20"/>
    </w:rPr>
  </w:style>
  <w:style w:type="paragraph" w:customStyle="1" w:styleId="179">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bottom"/>
    </w:pPr>
    <w:rPr>
      <w:rFonts w:hint="eastAsia" w:ascii="黑体" w:hAnsi="Arial Unicode MS" w:eastAsia="黑体" w:cs="Arial Unicode MS"/>
      <w:color w:val="000080"/>
      <w:kern w:val="0"/>
      <w:sz w:val="24"/>
    </w:rPr>
  </w:style>
  <w:style w:type="paragraph" w:customStyle="1" w:styleId="180">
    <w:name w:val="编号1"/>
    <w:basedOn w:val="1"/>
    <w:qFormat/>
    <w:uiPriority w:val="0"/>
    <w:pPr>
      <w:numPr>
        <w:ilvl w:val="0"/>
        <w:numId w:val="4"/>
      </w:numPr>
      <w:tabs>
        <w:tab w:val="left" w:pos="425"/>
        <w:tab w:val="left" w:pos="720"/>
      </w:tabs>
      <w:adjustRightInd w:val="0"/>
      <w:spacing w:line="300" w:lineRule="auto"/>
      <w:ind w:right="210"/>
      <w:textAlignment w:val="center"/>
    </w:pPr>
    <w:rPr>
      <w:rFonts w:ascii="宋体" w:hAnsi="宋体"/>
      <w:snapToGrid w:val="0"/>
      <w:spacing w:val="10"/>
      <w:kern w:val="24"/>
      <w:szCs w:val="20"/>
    </w:rPr>
  </w:style>
  <w:style w:type="character" w:customStyle="1" w:styleId="181">
    <w:name w:val="正文文本缩进 3 字符"/>
    <w:basedOn w:val="50"/>
    <w:link w:val="38"/>
    <w:qFormat/>
    <w:uiPriority w:val="0"/>
    <w:rPr>
      <w:rFonts w:ascii="宋体" w:hAnsi="Calibri" w:eastAsia="宋体" w:cs="Times New Roman"/>
      <w:b/>
      <w:bCs/>
      <w:sz w:val="24"/>
      <w:szCs w:val="24"/>
    </w:rPr>
  </w:style>
  <w:style w:type="paragraph" w:customStyle="1" w:styleId="182">
    <w:name w:val="font11"/>
    <w:basedOn w:val="1"/>
    <w:qFormat/>
    <w:uiPriority w:val="0"/>
    <w:pPr>
      <w:widowControl/>
      <w:spacing w:before="100" w:beforeAutospacing="1" w:after="100" w:afterAutospacing="1"/>
      <w:jc w:val="left"/>
    </w:pPr>
    <w:rPr>
      <w:rFonts w:ascii="Arial" w:hAnsi="Arial" w:eastAsia="Arial Unicode MS" w:cs="Arial"/>
      <w:kern w:val="0"/>
      <w:sz w:val="20"/>
      <w:szCs w:val="20"/>
    </w:rPr>
  </w:style>
  <w:style w:type="paragraph" w:customStyle="1" w:styleId="1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184">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kern w:val="0"/>
      <w:sz w:val="32"/>
    </w:rPr>
  </w:style>
  <w:style w:type="paragraph" w:customStyle="1" w:styleId="18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Arial Unicode MS" w:hAnsi="Arial Unicode MS" w:eastAsia="Arial Unicode MS" w:cs="Arial Unicode MS"/>
      <w:kern w:val="0"/>
      <w:sz w:val="20"/>
      <w:szCs w:val="20"/>
    </w:rPr>
  </w:style>
  <w:style w:type="paragraph" w:customStyle="1" w:styleId="186">
    <w:name w:val="xl65"/>
    <w:basedOn w:val="1"/>
    <w:qFormat/>
    <w:uiPriority w:val="0"/>
    <w:pPr>
      <w:widowControl/>
      <w:pBdr>
        <w:bottom w:val="single" w:color="auto" w:sz="8" w:space="0"/>
      </w:pBdr>
      <w:spacing w:before="100" w:beforeAutospacing="1" w:after="100" w:afterAutospacing="1"/>
      <w:jc w:val="center"/>
    </w:pPr>
    <w:rPr>
      <w:rFonts w:hint="eastAsia" w:ascii="华文新魏" w:hAnsi="Arial Unicode MS" w:eastAsia="华文新魏" w:cs="Arial Unicode MS"/>
      <w:kern w:val="0"/>
      <w:sz w:val="32"/>
      <w:szCs w:val="32"/>
    </w:rPr>
  </w:style>
  <w:style w:type="paragraph" w:customStyle="1" w:styleId="187">
    <w:name w:val="xl35"/>
    <w:basedOn w:val="1"/>
    <w:qFormat/>
    <w:uiPriority w:val="0"/>
    <w:pPr>
      <w:widowControl/>
      <w:pBdr>
        <w:top w:val="single" w:color="auto" w:sz="8"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bottom"/>
    </w:pPr>
    <w:rPr>
      <w:rFonts w:hint="eastAsia" w:ascii="黑体" w:hAnsi="Arial Unicode MS" w:eastAsia="黑体" w:cs="Arial Unicode MS"/>
      <w:kern w:val="0"/>
      <w:sz w:val="24"/>
    </w:rPr>
  </w:style>
  <w:style w:type="character" w:customStyle="1" w:styleId="188">
    <w:name w:val="正文文本缩进 字符"/>
    <w:basedOn w:val="50"/>
    <w:link w:val="20"/>
    <w:semiHidden/>
    <w:qFormat/>
    <w:uiPriority w:val="99"/>
    <w:rPr>
      <w:rFonts w:ascii="Times New Roman" w:hAnsi="Times New Roman" w:eastAsia="宋体" w:cs="Times New Roman"/>
      <w:szCs w:val="24"/>
    </w:rPr>
  </w:style>
  <w:style w:type="character" w:customStyle="1" w:styleId="189">
    <w:name w:val="正文文本首行缩进 2 字符"/>
    <w:basedOn w:val="188"/>
    <w:link w:val="47"/>
    <w:qFormat/>
    <w:uiPriority w:val="0"/>
    <w:rPr>
      <w:rFonts w:ascii="Times New Roman" w:hAnsi="Times New Roman" w:eastAsia="宋体" w:cs="Times New Roman"/>
      <w:kern w:val="2"/>
      <w:sz w:val="21"/>
      <w:szCs w:val="24"/>
    </w:rPr>
  </w:style>
  <w:style w:type="paragraph" w:customStyle="1" w:styleId="190">
    <w:name w:val="表格内文字"/>
    <w:basedOn w:val="1"/>
    <w:qFormat/>
    <w:uiPriority w:val="0"/>
    <w:rPr>
      <w:rFonts w:ascii="Calibri" w:hAnsi="Calibri"/>
      <w:sz w:val="24"/>
      <w:szCs w:val="20"/>
    </w:rPr>
  </w:style>
  <w:style w:type="paragraph" w:customStyle="1" w:styleId="191">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9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Arial Unicode MS" w:hAnsi="Arial Unicode MS" w:eastAsia="Arial Unicode MS" w:cs="Arial Unicode MS"/>
      <w:kern w:val="0"/>
      <w:sz w:val="20"/>
      <w:szCs w:val="20"/>
    </w:rPr>
  </w:style>
  <w:style w:type="paragraph" w:customStyle="1" w:styleId="193">
    <w:name w:val="doc-a"/>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paragraph" w:customStyle="1" w:styleId="194">
    <w:name w:val="图表文字"/>
    <w:basedOn w:val="1"/>
    <w:qFormat/>
    <w:uiPriority w:val="0"/>
    <w:rPr>
      <w:rFonts w:ascii="Calibri" w:hAnsi="Calibri"/>
      <w:szCs w:val="20"/>
    </w:rPr>
  </w:style>
  <w:style w:type="paragraph" w:customStyle="1" w:styleId="195">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196">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left"/>
    </w:pPr>
    <w:rPr>
      <w:rFonts w:ascii="Arial Unicode MS" w:hAnsi="Arial Unicode MS" w:eastAsia="Arial Unicode MS" w:cs="Arial Unicode MS"/>
      <w:kern w:val="0"/>
      <w:sz w:val="24"/>
    </w:rPr>
  </w:style>
  <w:style w:type="paragraph" w:customStyle="1" w:styleId="19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color w:val="000000"/>
      <w:kern w:val="0"/>
      <w:sz w:val="20"/>
      <w:szCs w:val="20"/>
    </w:rPr>
  </w:style>
  <w:style w:type="paragraph" w:customStyle="1" w:styleId="198">
    <w:name w:val="小标题 2"/>
    <w:basedOn w:val="199"/>
    <w:qFormat/>
    <w:uiPriority w:val="0"/>
    <w:pPr>
      <w:spacing w:before="57" w:after="57" w:line="400" w:lineRule="atLeast"/>
      <w:ind w:firstLine="539"/>
      <w:jc w:val="left"/>
    </w:pPr>
    <w:rPr>
      <w:rFonts w:ascii="文鼎CS中宋" w:eastAsia="文鼎CS中宋"/>
      <w:sz w:val="20"/>
      <w:szCs w:val="24"/>
    </w:rPr>
  </w:style>
  <w:style w:type="paragraph" w:customStyle="1" w:styleId="199">
    <w:name w:val="小标题 1"/>
    <w:basedOn w:val="1"/>
    <w:qFormat/>
    <w:uiPriority w:val="0"/>
    <w:pPr>
      <w:autoSpaceDE w:val="0"/>
      <w:autoSpaceDN w:val="0"/>
      <w:adjustRightInd w:val="0"/>
      <w:spacing w:line="360" w:lineRule="atLeast"/>
    </w:pPr>
    <w:rPr>
      <w:rFonts w:ascii="文鼎粗黑" w:hAnsi="Calibri" w:eastAsia="文鼎粗黑"/>
      <w:kern w:val="0"/>
      <w:sz w:val="22"/>
      <w:szCs w:val="20"/>
    </w:rPr>
  </w:style>
  <w:style w:type="paragraph" w:customStyle="1" w:styleId="200">
    <w:name w:val="xl84"/>
    <w:basedOn w:val="1"/>
    <w:qFormat/>
    <w:uiPriority w:val="0"/>
    <w:pPr>
      <w:widowControl/>
      <w:pBdr>
        <w:top w:val="single" w:color="auto" w:sz="8" w:space="0"/>
        <w:left w:val="single" w:color="auto" w:sz="4" w:space="0"/>
        <w:bottom w:val="single" w:color="auto" w:sz="4" w:space="0"/>
        <w:right w:val="single" w:color="auto" w:sz="8" w:space="0"/>
      </w:pBdr>
      <w:shd w:val="clear" w:color="auto" w:fill="99CCFF"/>
      <w:spacing w:before="100" w:beforeAutospacing="1" w:after="100" w:afterAutospacing="1"/>
      <w:jc w:val="center"/>
      <w:textAlignment w:val="bottom"/>
    </w:pPr>
    <w:rPr>
      <w:rFonts w:hint="eastAsia" w:ascii="黑体" w:hAnsi="Arial Unicode MS" w:eastAsia="黑体" w:cs="Arial Unicode MS"/>
      <w:kern w:val="0"/>
      <w:sz w:val="28"/>
      <w:szCs w:val="28"/>
    </w:rPr>
  </w:style>
  <w:style w:type="character" w:customStyle="1" w:styleId="201">
    <w:name w:val="正文文本 3 字符"/>
    <w:basedOn w:val="50"/>
    <w:link w:val="18"/>
    <w:qFormat/>
    <w:uiPriority w:val="0"/>
    <w:rPr>
      <w:rFonts w:ascii="Calibri" w:hAnsi="Calibri" w:eastAsia="宋体" w:cs="Times New Roman"/>
      <w:sz w:val="16"/>
      <w:szCs w:val="16"/>
    </w:rPr>
  </w:style>
  <w:style w:type="paragraph" w:customStyle="1" w:styleId="202">
    <w:name w:val="样式5"/>
    <w:basedOn w:val="1"/>
    <w:qFormat/>
    <w:uiPriority w:val="0"/>
    <w:pPr>
      <w:numPr>
        <w:ilvl w:val="4"/>
        <w:numId w:val="1"/>
      </w:numPr>
      <w:tabs>
        <w:tab w:val="left" w:pos="980"/>
      </w:tabs>
      <w:spacing w:line="360" w:lineRule="auto"/>
    </w:pPr>
    <w:rPr>
      <w:rFonts w:ascii="Calibri" w:hAnsi="Calibri"/>
      <w:sz w:val="24"/>
      <w:szCs w:val="20"/>
    </w:rPr>
  </w:style>
  <w:style w:type="paragraph" w:customStyle="1" w:styleId="203">
    <w:name w:val="小标题3"/>
    <w:basedOn w:val="1"/>
    <w:qFormat/>
    <w:uiPriority w:val="0"/>
    <w:pPr>
      <w:autoSpaceDE w:val="0"/>
      <w:autoSpaceDN w:val="0"/>
      <w:adjustRightInd w:val="0"/>
      <w:spacing w:line="400" w:lineRule="atLeast"/>
      <w:ind w:firstLine="510"/>
    </w:pPr>
    <w:rPr>
      <w:rFonts w:ascii="文鼎CS楷体" w:hAnsi="Calibri" w:eastAsia="文鼎CS楷体"/>
      <w:kern w:val="0"/>
      <w:sz w:val="22"/>
      <w:szCs w:val="22"/>
    </w:rPr>
  </w:style>
  <w:style w:type="paragraph" w:customStyle="1" w:styleId="204">
    <w:name w:val="Char Char"/>
    <w:basedOn w:val="1"/>
    <w:qFormat/>
    <w:uiPriority w:val="0"/>
    <w:rPr>
      <w:rFonts w:ascii="Tahoma" w:hAnsi="Tahoma"/>
      <w:sz w:val="24"/>
      <w:szCs w:val="20"/>
    </w:rPr>
  </w:style>
  <w:style w:type="paragraph" w:customStyle="1" w:styleId="20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0"/>
      <w:szCs w:val="20"/>
    </w:rPr>
  </w:style>
  <w:style w:type="paragraph" w:customStyle="1" w:styleId="206">
    <w:name w:val="列出段落4"/>
    <w:basedOn w:val="1"/>
    <w:qFormat/>
    <w:uiPriority w:val="99"/>
    <w:pPr>
      <w:ind w:firstLine="420" w:firstLineChars="200"/>
    </w:pPr>
    <w:rPr>
      <w:rFonts w:ascii="Calibri" w:hAnsi="Calibri"/>
      <w:szCs w:val="22"/>
    </w:rPr>
  </w:style>
  <w:style w:type="paragraph" w:customStyle="1" w:styleId="207">
    <w:name w:val="表格文字"/>
    <w:qFormat/>
    <w:uiPriority w:val="0"/>
    <w:pPr>
      <w:widowControl w:val="0"/>
      <w:autoSpaceDE w:val="0"/>
      <w:autoSpaceDN w:val="0"/>
      <w:adjustRightInd w:val="0"/>
      <w:spacing w:line="420" w:lineRule="atLeast"/>
      <w:ind w:firstLine="510"/>
      <w:jc w:val="both"/>
    </w:pPr>
    <w:rPr>
      <w:rFonts w:ascii="文鼎CS楷体" w:hAnsi="Calibri" w:eastAsia="文鼎CS楷体" w:cs="Times New Roman"/>
      <w:color w:val="000000"/>
      <w:sz w:val="22"/>
      <w:szCs w:val="22"/>
      <w:lang w:val="en-US" w:eastAsia="zh-CN" w:bidi="ar-SA"/>
    </w:rPr>
  </w:style>
  <w:style w:type="paragraph" w:customStyle="1" w:styleId="208">
    <w:name w:val="_Style 72"/>
    <w:basedOn w:val="1"/>
    <w:qFormat/>
    <w:uiPriority w:val="99"/>
    <w:pPr>
      <w:ind w:firstLine="420" w:firstLineChars="200"/>
    </w:pPr>
    <w:rPr>
      <w:rFonts w:ascii="Calibri" w:hAnsi="Calibri"/>
      <w:sz w:val="22"/>
      <w:szCs w:val="20"/>
    </w:rPr>
  </w:style>
  <w:style w:type="paragraph" w:customStyle="1" w:styleId="20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eastAsia="Arial Unicode MS" w:cs="Arial"/>
      <w:kern w:val="0"/>
      <w:sz w:val="20"/>
      <w:szCs w:val="20"/>
    </w:rPr>
  </w:style>
  <w:style w:type="paragraph" w:customStyle="1" w:styleId="210">
    <w:name w:val="案例一级标题"/>
    <w:qFormat/>
    <w:uiPriority w:val="0"/>
    <w:pPr>
      <w:widowControl w:val="0"/>
      <w:autoSpaceDE w:val="0"/>
      <w:autoSpaceDN w:val="0"/>
      <w:adjustRightInd w:val="0"/>
      <w:spacing w:line="400" w:lineRule="atLeast"/>
      <w:ind w:firstLine="425"/>
      <w:jc w:val="both"/>
    </w:pPr>
    <w:rPr>
      <w:rFonts w:ascii="文鼎CS中黑" w:hAnsi="Calibri" w:eastAsia="文鼎CS中黑" w:cs="Times New Roman"/>
      <w:szCs w:val="24"/>
      <w:lang w:val="en-US" w:eastAsia="zh-CN" w:bidi="ar-SA"/>
    </w:rPr>
  </w:style>
  <w:style w:type="paragraph" w:customStyle="1" w:styleId="211">
    <w:name w:val="回信地址"/>
    <w:basedOn w:val="1"/>
    <w:qFormat/>
    <w:uiPriority w:val="0"/>
    <w:pPr>
      <w:keepLines/>
      <w:widowControl/>
      <w:spacing w:line="200" w:lineRule="atLeast"/>
      <w:ind w:right="-120"/>
      <w:jc w:val="left"/>
    </w:pPr>
    <w:rPr>
      <w:rFonts w:ascii="Calibri" w:hAnsi="Calibri"/>
      <w:kern w:val="0"/>
      <w:sz w:val="16"/>
      <w:szCs w:val="16"/>
    </w:rPr>
  </w:style>
  <w:style w:type="paragraph" w:customStyle="1" w:styleId="212">
    <w:name w:val="font10"/>
    <w:basedOn w:val="1"/>
    <w:qFormat/>
    <w:uiPriority w:val="0"/>
    <w:pPr>
      <w:widowControl/>
      <w:spacing w:before="100" w:beforeAutospacing="1" w:after="100" w:afterAutospacing="1"/>
      <w:jc w:val="left"/>
    </w:pPr>
    <w:rPr>
      <w:rFonts w:ascii="Calibri" w:hAnsi="Calibri" w:eastAsia="Arial Unicode MS"/>
      <w:kern w:val="0"/>
      <w:sz w:val="20"/>
      <w:szCs w:val="20"/>
    </w:rPr>
  </w:style>
  <w:style w:type="paragraph" w:customStyle="1" w:styleId="21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Arial" w:hAnsi="Arial" w:eastAsia="Arial Unicode MS" w:cs="Arial"/>
      <w:kern w:val="0"/>
      <w:sz w:val="20"/>
      <w:szCs w:val="20"/>
    </w:rPr>
  </w:style>
  <w:style w:type="paragraph" w:customStyle="1" w:styleId="2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215">
    <w:name w:val="--规划正文"/>
    <w:basedOn w:val="1"/>
    <w:qFormat/>
    <w:uiPriority w:val="99"/>
    <w:pPr>
      <w:spacing w:line="360" w:lineRule="auto"/>
      <w:ind w:firstLine="200" w:firstLineChars="200"/>
    </w:pPr>
    <w:rPr>
      <w:rFonts w:ascii="Calibri" w:hAnsi="Calibri"/>
      <w:szCs w:val="20"/>
    </w:rPr>
  </w:style>
  <w:style w:type="character" w:customStyle="1" w:styleId="216">
    <w:name w:val="正文文本首行缩进 字符"/>
    <w:basedOn w:val="79"/>
    <w:link w:val="46"/>
    <w:semiHidden/>
    <w:qFormat/>
    <w:uiPriority w:val="99"/>
    <w:rPr>
      <w:rFonts w:ascii="Times New Roman" w:hAnsi="Times New Roman" w:eastAsia="宋体" w:cs="Times New Roman"/>
      <w:szCs w:val="24"/>
    </w:rPr>
  </w:style>
  <w:style w:type="paragraph" w:customStyle="1" w:styleId="217">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系统一级标题"/>
    <w:basedOn w:val="174"/>
    <w:qFormat/>
    <w:uiPriority w:val="0"/>
    <w:pPr>
      <w:spacing w:line="480" w:lineRule="auto"/>
      <w:ind w:firstLine="0" w:firstLineChars="0"/>
    </w:pPr>
    <w:rPr>
      <w:rFonts w:ascii="隶书" w:eastAsia="隶书"/>
      <w:sz w:val="28"/>
    </w:rPr>
  </w:style>
  <w:style w:type="paragraph" w:customStyle="1" w:styleId="219">
    <w:name w:val="xl46"/>
    <w:basedOn w:val="1"/>
    <w:qFormat/>
    <w:uiPriority w:val="0"/>
    <w:pPr>
      <w:widowControl/>
      <w:pBdr>
        <w:top w:val="single" w:color="auto" w:sz="8"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bottom"/>
    </w:pPr>
    <w:rPr>
      <w:rFonts w:hint="eastAsia" w:ascii="黑体" w:hAnsi="Arial Unicode MS" w:eastAsia="黑体" w:cs="Arial Unicode MS"/>
      <w:kern w:val="0"/>
      <w:sz w:val="24"/>
    </w:rPr>
  </w:style>
  <w:style w:type="paragraph" w:customStyle="1" w:styleId="220">
    <w:name w:val="xl64"/>
    <w:basedOn w:val="1"/>
    <w:qFormat/>
    <w:uiPriority w:val="0"/>
    <w:pPr>
      <w:widowControl/>
      <w:pBdr>
        <w:top w:val="single" w:color="auto" w:sz="4" w:space="0"/>
        <w:bottom w:val="single" w:color="auto" w:sz="4" w:space="0"/>
        <w:right w:val="single" w:color="auto" w:sz="8" w:space="0"/>
      </w:pBdr>
      <w:spacing w:before="100" w:beforeAutospacing="1" w:after="100" w:afterAutospacing="1"/>
      <w:jc w:val="center"/>
      <w:textAlignment w:val="bottom"/>
    </w:pPr>
    <w:rPr>
      <w:rFonts w:ascii="Calibri" w:hAnsi="Calibri" w:eastAsia="Arial Unicode MS"/>
      <w:b/>
      <w:bCs/>
      <w:color w:val="333399"/>
      <w:kern w:val="0"/>
      <w:sz w:val="24"/>
    </w:rPr>
  </w:style>
  <w:style w:type="paragraph" w:customStyle="1" w:styleId="22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222">
    <w:name w:val="xl4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bottom"/>
    </w:pPr>
    <w:rPr>
      <w:rFonts w:ascii="Arial Unicode MS" w:hAnsi="Arial Unicode MS" w:eastAsia="Arial Unicode MS" w:cs="Arial Unicode MS"/>
      <w:kern w:val="0"/>
      <w:sz w:val="20"/>
      <w:szCs w:val="20"/>
    </w:rPr>
  </w:style>
  <w:style w:type="paragraph" w:customStyle="1" w:styleId="223">
    <w:name w:val="p9"/>
    <w:basedOn w:val="1"/>
    <w:qFormat/>
    <w:uiPriority w:val="0"/>
    <w:pPr>
      <w:widowControl/>
      <w:spacing w:before="100" w:beforeAutospacing="1" w:after="100" w:afterAutospacing="1"/>
      <w:jc w:val="left"/>
    </w:pPr>
    <w:rPr>
      <w:rFonts w:eastAsia="Arial Unicode MS"/>
      <w:color w:val="000000"/>
      <w:kern w:val="0"/>
      <w:sz w:val="18"/>
      <w:szCs w:val="18"/>
    </w:rPr>
  </w:style>
  <w:style w:type="character" w:customStyle="1" w:styleId="224">
    <w:name w:val="称呼 字符"/>
    <w:basedOn w:val="50"/>
    <w:link w:val="17"/>
    <w:semiHidden/>
    <w:qFormat/>
    <w:uiPriority w:val="99"/>
    <w:rPr>
      <w:rFonts w:ascii="Times New Roman" w:hAnsi="Times New Roman" w:eastAsia="宋体" w:cs="Times New Roman"/>
      <w:szCs w:val="24"/>
    </w:rPr>
  </w:style>
  <w:style w:type="paragraph" w:customStyle="1" w:styleId="225">
    <w:name w:val="xl68"/>
    <w:basedOn w:val="1"/>
    <w:qFormat/>
    <w:uiPriority w:val="0"/>
    <w:pPr>
      <w:widowControl/>
      <w:pBdr>
        <w:top w:val="single" w:color="auto" w:sz="4" w:space="0"/>
        <w:bottom w:val="single" w:color="auto" w:sz="4" w:space="0"/>
        <w:right w:val="single" w:color="auto" w:sz="8" w:space="0"/>
      </w:pBdr>
      <w:spacing w:before="100" w:beforeAutospacing="1" w:after="100" w:afterAutospacing="1"/>
      <w:jc w:val="center"/>
      <w:textAlignment w:val="bottom"/>
    </w:pPr>
    <w:rPr>
      <w:rFonts w:hint="eastAsia" w:ascii="黑体" w:hAnsi="Arial Unicode MS" w:eastAsia="黑体" w:cs="Arial Unicode MS"/>
      <w:color w:val="000080"/>
      <w:kern w:val="0"/>
      <w:sz w:val="24"/>
    </w:rPr>
  </w:style>
  <w:style w:type="paragraph" w:customStyle="1" w:styleId="226">
    <w:name w:val="font7"/>
    <w:basedOn w:val="1"/>
    <w:qFormat/>
    <w:uiPriority w:val="0"/>
    <w:pPr>
      <w:widowControl/>
      <w:spacing w:before="100" w:beforeAutospacing="1" w:after="100" w:afterAutospacing="1"/>
      <w:jc w:val="left"/>
    </w:pPr>
    <w:rPr>
      <w:rFonts w:hint="eastAsia" w:ascii="宋体" w:hAnsi="宋体" w:cs="Arial Unicode MS"/>
      <w:kern w:val="0"/>
      <w:sz w:val="20"/>
      <w:szCs w:val="20"/>
    </w:rPr>
  </w:style>
  <w:style w:type="paragraph" w:customStyle="1" w:styleId="22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eastAsia="Arial Unicode MS"/>
      <w:kern w:val="0"/>
      <w:sz w:val="20"/>
      <w:szCs w:val="20"/>
    </w:rPr>
  </w:style>
  <w:style w:type="character" w:customStyle="1" w:styleId="228">
    <w:name w:val="正文文本缩进 2 字符"/>
    <w:basedOn w:val="50"/>
    <w:link w:val="28"/>
    <w:qFormat/>
    <w:uiPriority w:val="0"/>
    <w:rPr>
      <w:rFonts w:ascii="宋体" w:hAnsi="宋体" w:eastAsia="宋体" w:cs="Times New Roman"/>
      <w:szCs w:val="24"/>
    </w:rPr>
  </w:style>
  <w:style w:type="paragraph" w:customStyle="1" w:styleId="229">
    <w:name w:val="xl89"/>
    <w:basedOn w:val="1"/>
    <w:qFormat/>
    <w:uiPriority w:val="0"/>
    <w:pPr>
      <w:widowControl/>
      <w:pBdr>
        <w:top w:val="single" w:color="auto" w:sz="4" w:space="0"/>
        <w:left w:val="single" w:color="auto" w:sz="8" w:space="0"/>
        <w:bottom w:val="single" w:color="auto" w:sz="4" w:space="0"/>
      </w:pBdr>
      <w:spacing w:before="100" w:beforeAutospacing="1" w:after="100" w:afterAutospacing="1"/>
      <w:jc w:val="center"/>
      <w:textAlignment w:val="bottom"/>
    </w:pPr>
    <w:rPr>
      <w:rFonts w:hint="eastAsia" w:ascii="黑体" w:hAnsi="Arial Unicode MS" w:eastAsia="黑体" w:cs="Arial Unicode MS"/>
      <w:b/>
      <w:bCs/>
      <w:color w:val="000080"/>
      <w:kern w:val="0"/>
      <w:sz w:val="28"/>
      <w:szCs w:val="28"/>
    </w:rPr>
  </w:style>
  <w:style w:type="paragraph" w:customStyle="1" w:styleId="230">
    <w:name w:val="xl56"/>
    <w:basedOn w:val="1"/>
    <w:qFormat/>
    <w:uiPriority w:val="0"/>
    <w:pPr>
      <w:widowControl/>
      <w:pBdr>
        <w:top w:val="single" w:color="auto" w:sz="4" w:space="0"/>
        <w:left w:val="single" w:color="auto" w:sz="8" w:space="0"/>
        <w:bottom w:val="single" w:color="auto" w:sz="4" w:space="0"/>
        <w:right w:val="single" w:color="auto" w:sz="4" w:space="0"/>
      </w:pBdr>
      <w:shd w:val="clear" w:color="auto" w:fill="CCFFFF"/>
      <w:spacing w:before="100" w:beforeAutospacing="1" w:after="100" w:afterAutospacing="1"/>
      <w:jc w:val="right"/>
      <w:textAlignment w:val="bottom"/>
    </w:pPr>
    <w:rPr>
      <w:rFonts w:ascii="Arial Unicode MS" w:hAnsi="Arial Unicode MS" w:eastAsia="Arial Unicode MS" w:cs="Arial Unicode MS"/>
      <w:kern w:val="0"/>
      <w:sz w:val="20"/>
      <w:szCs w:val="20"/>
    </w:rPr>
  </w:style>
  <w:style w:type="character" w:customStyle="1" w:styleId="231">
    <w:name w:val="正文文本 2 字符"/>
    <w:basedOn w:val="50"/>
    <w:link w:val="41"/>
    <w:qFormat/>
    <w:uiPriority w:val="0"/>
    <w:rPr>
      <w:rFonts w:ascii="Calibri" w:hAnsi="Calibri" w:eastAsia="宋体" w:cs="Times New Roman"/>
      <w:sz w:val="24"/>
      <w:szCs w:val="24"/>
    </w:rPr>
  </w:style>
  <w:style w:type="paragraph" w:customStyle="1" w:styleId="232">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right"/>
      <w:textAlignment w:val="bottom"/>
    </w:pPr>
    <w:rPr>
      <w:rFonts w:ascii="Arial Unicode MS" w:hAnsi="Arial Unicode MS" w:eastAsia="Arial Unicode MS" w:cs="Arial Unicode MS"/>
      <w:b/>
      <w:bCs/>
      <w:kern w:val="0"/>
      <w:sz w:val="20"/>
      <w:szCs w:val="20"/>
    </w:rPr>
  </w:style>
  <w:style w:type="paragraph" w:customStyle="1" w:styleId="233">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234">
    <w:name w:val="2册标题2"/>
    <w:basedOn w:val="1"/>
    <w:next w:val="1"/>
    <w:qFormat/>
    <w:uiPriority w:val="0"/>
    <w:pPr>
      <w:spacing w:beforeLines="50" w:afterLines="50" w:line="300" w:lineRule="auto"/>
      <w:outlineLvl w:val="1"/>
    </w:pPr>
    <w:rPr>
      <w:rFonts w:ascii="Arial" w:hAnsi="Arial" w:eastAsia="黑体"/>
      <w:sz w:val="30"/>
      <w:szCs w:val="30"/>
    </w:rPr>
  </w:style>
  <w:style w:type="paragraph" w:customStyle="1" w:styleId="23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kern w:val="0"/>
      <w:sz w:val="20"/>
      <w:szCs w:val="20"/>
    </w:rPr>
  </w:style>
  <w:style w:type="paragraph" w:customStyle="1" w:styleId="236">
    <w:name w:val="xl53"/>
    <w:basedOn w:val="1"/>
    <w:qFormat/>
    <w:uiPriority w:val="0"/>
    <w:pPr>
      <w:widowControl/>
      <w:pBdr>
        <w:top w:val="single" w:color="auto" w:sz="4" w:space="0"/>
        <w:left w:val="single" w:color="auto" w:sz="4" w:space="0"/>
        <w:bottom w:val="single" w:color="auto" w:sz="4" w:space="0"/>
        <w:right w:val="single" w:color="auto" w:sz="8" w:space="0"/>
      </w:pBdr>
      <w:shd w:val="clear" w:color="auto" w:fill="CCFFCC"/>
      <w:spacing w:before="100" w:beforeAutospacing="1" w:after="100" w:afterAutospacing="1"/>
      <w:jc w:val="left"/>
    </w:pPr>
    <w:rPr>
      <w:rFonts w:ascii="Arial Unicode MS" w:hAnsi="Arial Unicode MS" w:eastAsia="Arial Unicode MS" w:cs="Arial Unicode MS"/>
      <w:kern w:val="0"/>
      <w:sz w:val="24"/>
    </w:rPr>
  </w:style>
  <w:style w:type="paragraph" w:customStyle="1" w:styleId="237">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0"/>
      <w:szCs w:val="20"/>
    </w:rPr>
  </w:style>
  <w:style w:type="paragraph" w:customStyle="1" w:styleId="238">
    <w:name w:val="1册标题1"/>
    <w:basedOn w:val="1"/>
    <w:next w:val="1"/>
    <w:qFormat/>
    <w:uiPriority w:val="0"/>
    <w:pPr>
      <w:spacing w:beforeLines="50" w:afterLines="50" w:line="300" w:lineRule="auto"/>
      <w:jc w:val="center"/>
      <w:outlineLvl w:val="0"/>
    </w:pPr>
    <w:rPr>
      <w:rFonts w:ascii="Arial" w:hAnsi="Arial" w:eastAsia="黑体"/>
      <w:b/>
      <w:bCs/>
      <w:sz w:val="48"/>
      <w:szCs w:val="20"/>
    </w:rPr>
  </w:style>
  <w:style w:type="paragraph" w:customStyle="1" w:styleId="239">
    <w:name w:val="xl79"/>
    <w:basedOn w:val="1"/>
    <w:qFormat/>
    <w:uiPriority w:val="0"/>
    <w:pPr>
      <w:widowControl/>
      <w:pBdr>
        <w:top w:val="single" w:color="auto" w:sz="4" w:space="0"/>
        <w:bottom w:val="single" w:color="auto" w:sz="4" w:space="0"/>
      </w:pBdr>
      <w:shd w:val="clear" w:color="auto" w:fill="CCFFCC"/>
      <w:spacing w:before="100" w:beforeAutospacing="1" w:after="100" w:afterAutospacing="1"/>
      <w:jc w:val="center"/>
      <w:textAlignment w:val="top"/>
    </w:pPr>
    <w:rPr>
      <w:rFonts w:ascii="Arial Unicode MS" w:hAnsi="Arial Unicode MS" w:eastAsia="Arial Unicode MS" w:cs="Arial Unicode MS"/>
      <w:kern w:val="0"/>
      <w:sz w:val="20"/>
      <w:szCs w:val="20"/>
    </w:rPr>
  </w:style>
  <w:style w:type="paragraph" w:customStyle="1" w:styleId="240">
    <w:name w:val="Char Char Char Char Char"/>
    <w:basedOn w:val="1"/>
    <w:qFormat/>
    <w:uiPriority w:val="0"/>
    <w:rPr>
      <w:rFonts w:ascii="Tahoma" w:hAnsi="Tahoma"/>
      <w:sz w:val="24"/>
      <w:szCs w:val="20"/>
    </w:rPr>
  </w:style>
  <w:style w:type="paragraph" w:customStyle="1" w:styleId="241">
    <w:name w:val="op_mapdots_left"/>
    <w:basedOn w:val="1"/>
    <w:qFormat/>
    <w:uiPriority w:val="0"/>
    <w:pPr>
      <w:jc w:val="left"/>
    </w:pPr>
    <w:rPr>
      <w:rFonts w:ascii="Calibri" w:hAnsi="Calibri"/>
      <w:kern w:val="0"/>
    </w:rPr>
  </w:style>
  <w:style w:type="character" w:customStyle="1" w:styleId="242">
    <w:name w:val="日期 字符"/>
    <w:basedOn w:val="50"/>
    <w:link w:val="27"/>
    <w:qFormat/>
    <w:uiPriority w:val="0"/>
    <w:rPr>
      <w:rFonts w:ascii="宋体" w:hAnsi="Courier New" w:eastAsia="宋体" w:cs="Times New Roman"/>
      <w:sz w:val="32"/>
      <w:szCs w:val="20"/>
    </w:rPr>
  </w:style>
  <w:style w:type="paragraph" w:customStyle="1" w:styleId="243">
    <w:name w:val="xl45"/>
    <w:basedOn w:val="1"/>
    <w:qFormat/>
    <w:uiPriority w:val="0"/>
    <w:pPr>
      <w:widowControl/>
      <w:pBdr>
        <w:top w:val="single" w:color="auto" w:sz="8" w:space="0"/>
        <w:left w:val="single" w:color="auto" w:sz="8" w:space="0"/>
        <w:bottom w:val="single" w:color="auto" w:sz="4" w:space="0"/>
        <w:right w:val="single" w:color="auto" w:sz="4" w:space="0"/>
      </w:pBdr>
      <w:shd w:val="clear" w:color="auto" w:fill="99CCFF"/>
      <w:spacing w:before="100" w:beforeAutospacing="1" w:after="100" w:afterAutospacing="1"/>
      <w:jc w:val="center"/>
      <w:textAlignment w:val="bottom"/>
    </w:pPr>
    <w:rPr>
      <w:rFonts w:hint="eastAsia" w:ascii="黑体" w:hAnsi="Arial Unicode MS" w:eastAsia="黑体" w:cs="Arial Unicode MS"/>
      <w:kern w:val="0"/>
      <w:sz w:val="24"/>
    </w:rPr>
  </w:style>
  <w:style w:type="paragraph" w:customStyle="1" w:styleId="244">
    <w:name w:val="xl4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4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246">
    <w:name w:val="列出段落1"/>
    <w:basedOn w:val="1"/>
    <w:qFormat/>
    <w:uiPriority w:val="99"/>
    <w:pPr>
      <w:ind w:firstLine="420" w:firstLineChars="200"/>
    </w:pPr>
    <w:rPr>
      <w:rFonts w:ascii="Cambria" w:hAnsi="Cambria"/>
      <w:sz w:val="24"/>
    </w:rPr>
  </w:style>
  <w:style w:type="paragraph" w:customStyle="1" w:styleId="247">
    <w:name w:val="xl90"/>
    <w:basedOn w:val="1"/>
    <w:qFormat/>
    <w:uiPriority w:val="0"/>
    <w:pPr>
      <w:widowControl/>
      <w:pBdr>
        <w:top w:val="single" w:color="auto" w:sz="4" w:space="0"/>
        <w:bottom w:val="single" w:color="auto" w:sz="4" w:space="0"/>
      </w:pBdr>
      <w:spacing w:before="100" w:beforeAutospacing="1" w:after="100" w:afterAutospacing="1"/>
      <w:jc w:val="center"/>
      <w:textAlignment w:val="bottom"/>
    </w:pPr>
    <w:rPr>
      <w:rFonts w:ascii="Arial Unicode MS" w:hAnsi="Arial Unicode MS" w:eastAsia="Arial Unicode MS" w:cs="Arial Unicode MS"/>
      <w:b/>
      <w:bCs/>
      <w:color w:val="000080"/>
      <w:kern w:val="0"/>
      <w:sz w:val="20"/>
      <w:szCs w:val="20"/>
    </w:rPr>
  </w:style>
  <w:style w:type="paragraph" w:customStyle="1" w:styleId="248">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Calibri"/>
      <w:sz w:val="24"/>
    </w:rPr>
  </w:style>
  <w:style w:type="paragraph" w:customStyle="1" w:styleId="249">
    <w:name w:val="content"/>
    <w:basedOn w:val="1"/>
    <w:qFormat/>
    <w:uiPriority w:val="0"/>
    <w:pPr>
      <w:widowControl/>
      <w:spacing w:before="192" w:after="192" w:line="240" w:lineRule="atLeast"/>
      <w:ind w:left="192" w:right="192"/>
      <w:jc w:val="left"/>
    </w:pPr>
    <w:rPr>
      <w:rFonts w:ascii="Arial" w:hAnsi="Arial" w:eastAsia="Arial Unicode MS" w:cs="Arial"/>
      <w:color w:val="153B63"/>
      <w:kern w:val="0"/>
      <w:sz w:val="19"/>
      <w:szCs w:val="19"/>
    </w:rPr>
  </w:style>
  <w:style w:type="paragraph" w:customStyle="1" w:styleId="250">
    <w:name w:val="一级"/>
    <w:basedOn w:val="1"/>
    <w:qFormat/>
    <w:uiPriority w:val="0"/>
    <w:pPr>
      <w:numPr>
        <w:ilvl w:val="0"/>
        <w:numId w:val="5"/>
      </w:numPr>
    </w:pPr>
    <w:rPr>
      <w:rFonts w:ascii="Calibri" w:hAnsi="Calibri"/>
      <w:b/>
    </w:rPr>
  </w:style>
  <w:style w:type="paragraph" w:customStyle="1" w:styleId="251">
    <w:name w:val="默认段落字体 Para Char Char Char Char"/>
    <w:basedOn w:val="1"/>
    <w:qFormat/>
    <w:uiPriority w:val="0"/>
    <w:rPr>
      <w:rFonts w:ascii="Calibri" w:hAnsi="Calibri"/>
    </w:rPr>
  </w:style>
  <w:style w:type="paragraph" w:customStyle="1" w:styleId="252">
    <w:name w:val="È±Ê¡ÎÄ±¾"/>
    <w:basedOn w:val="1"/>
    <w:qFormat/>
    <w:uiPriority w:val="0"/>
    <w:pPr>
      <w:widowControl/>
      <w:overflowPunct w:val="0"/>
      <w:autoSpaceDE w:val="0"/>
      <w:autoSpaceDN w:val="0"/>
      <w:adjustRightInd w:val="0"/>
      <w:jc w:val="left"/>
      <w:textAlignment w:val="baseline"/>
    </w:pPr>
    <w:rPr>
      <w:rFonts w:ascii="Calibri" w:hAnsi="Calibri"/>
      <w:kern w:val="0"/>
      <w:sz w:val="24"/>
      <w:szCs w:val="20"/>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right"/>
      <w:textAlignment w:val="bottom"/>
    </w:pPr>
    <w:rPr>
      <w:rFonts w:ascii="Arial Unicode MS" w:hAnsi="Arial Unicode MS" w:eastAsia="Arial Unicode MS" w:cs="Arial Unicode MS"/>
      <w:b/>
      <w:bCs/>
      <w:kern w:val="0"/>
      <w:sz w:val="20"/>
      <w:szCs w:val="20"/>
    </w:rPr>
  </w:style>
  <w:style w:type="paragraph" w:customStyle="1" w:styleId="254">
    <w:name w:val="Char1 Char Char Char Char Char Char"/>
    <w:basedOn w:val="1"/>
    <w:qFormat/>
    <w:uiPriority w:val="0"/>
    <w:pPr>
      <w:widowControl/>
      <w:spacing w:after="160" w:line="240" w:lineRule="exact"/>
      <w:jc w:val="left"/>
    </w:pPr>
    <w:rPr>
      <w:rFonts w:ascii="Calibri" w:hAnsi="Calibri"/>
      <w:szCs w:val="20"/>
    </w:rPr>
  </w:style>
  <w:style w:type="paragraph" w:customStyle="1" w:styleId="255">
    <w:name w:val="大标题"/>
    <w:qFormat/>
    <w:uiPriority w:val="0"/>
    <w:pPr>
      <w:widowControl w:val="0"/>
      <w:autoSpaceDE w:val="0"/>
      <w:autoSpaceDN w:val="0"/>
      <w:adjustRightInd w:val="0"/>
      <w:jc w:val="center"/>
    </w:pPr>
    <w:rPr>
      <w:rFonts w:ascii="文鼎CS中黑" w:hAnsi="Calibri" w:eastAsia="文鼎CS中黑" w:cs="Times New Roman"/>
      <w:sz w:val="36"/>
      <w:szCs w:val="36"/>
      <w:lang w:val="en-US" w:eastAsia="zh-CN" w:bidi="ar-SA"/>
    </w:rPr>
  </w:style>
  <w:style w:type="paragraph" w:customStyle="1" w:styleId="256">
    <w:name w:val="日期1"/>
    <w:basedOn w:val="1"/>
    <w:next w:val="1"/>
    <w:qFormat/>
    <w:uiPriority w:val="0"/>
    <w:pPr>
      <w:adjustRightInd w:val="0"/>
      <w:spacing w:line="360" w:lineRule="auto"/>
      <w:textAlignment w:val="baseline"/>
    </w:pPr>
    <w:rPr>
      <w:rFonts w:ascii="宋体" w:hAnsi="Calibri"/>
      <w:spacing w:val="2"/>
      <w:sz w:val="24"/>
      <w:szCs w:val="20"/>
    </w:rPr>
  </w:style>
  <w:style w:type="paragraph" w:customStyle="1" w:styleId="257">
    <w:name w:val="列表项目"/>
    <w:basedOn w:val="1"/>
    <w:qFormat/>
    <w:uiPriority w:val="0"/>
    <w:pPr>
      <w:tabs>
        <w:tab w:val="left" w:pos="420"/>
      </w:tabs>
      <w:spacing w:line="288" w:lineRule="auto"/>
      <w:ind w:left="355" w:leftChars="200" w:hanging="155" w:hangingChars="155"/>
    </w:pPr>
    <w:rPr>
      <w:rFonts w:ascii="Calibri" w:hAnsi="Calibri"/>
      <w:sz w:val="24"/>
      <w:szCs w:val="20"/>
    </w:rPr>
  </w:style>
  <w:style w:type="paragraph" w:customStyle="1" w:styleId="258">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59">
    <w:name w:val="xl50"/>
    <w:basedOn w:val="1"/>
    <w:qFormat/>
    <w:uiPriority w:val="0"/>
    <w:pPr>
      <w:widowControl/>
      <w:pBdr>
        <w:top w:val="single" w:color="auto" w:sz="8" w:space="0"/>
        <w:left w:val="single" w:color="auto" w:sz="4" w:space="0"/>
        <w:bottom w:val="single" w:color="auto" w:sz="4" w:space="0"/>
        <w:right w:val="single" w:color="auto" w:sz="4" w:space="0"/>
      </w:pBdr>
      <w:shd w:val="clear" w:color="auto" w:fill="99CCFF"/>
      <w:spacing w:before="100" w:beforeAutospacing="1" w:after="100" w:afterAutospacing="1"/>
      <w:jc w:val="center"/>
    </w:pPr>
    <w:rPr>
      <w:rFonts w:hint="eastAsia" w:ascii="黑体" w:hAnsi="Arial Unicode MS" w:eastAsia="黑体" w:cs="Arial Unicode MS"/>
      <w:kern w:val="0"/>
      <w:sz w:val="24"/>
    </w:rPr>
  </w:style>
  <w:style w:type="paragraph" w:customStyle="1" w:styleId="26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eastAsia="Arial Unicode MS" w:cs="Arial"/>
      <w:kern w:val="0"/>
      <w:sz w:val="20"/>
      <w:szCs w:val="20"/>
    </w:rPr>
  </w:style>
  <w:style w:type="paragraph" w:customStyle="1" w:styleId="261">
    <w:name w:val="xl80"/>
    <w:basedOn w:val="1"/>
    <w:qFormat/>
    <w:uiPriority w:val="0"/>
    <w:pPr>
      <w:widowControl/>
      <w:pBdr>
        <w:top w:val="single" w:color="auto" w:sz="4" w:space="0"/>
        <w:bottom w:val="single" w:color="auto" w:sz="4" w:space="0"/>
        <w:right w:val="single" w:color="auto" w:sz="4" w:space="0"/>
      </w:pBdr>
      <w:shd w:val="clear" w:color="auto" w:fill="CCFFCC"/>
      <w:spacing w:before="100" w:beforeAutospacing="1" w:after="100" w:afterAutospacing="1"/>
      <w:jc w:val="center"/>
      <w:textAlignment w:val="top"/>
    </w:pPr>
    <w:rPr>
      <w:rFonts w:ascii="Arial" w:hAnsi="Arial" w:eastAsia="Arial Unicode MS" w:cs="Arial"/>
      <w:kern w:val="0"/>
      <w:sz w:val="20"/>
      <w:szCs w:val="20"/>
    </w:rPr>
  </w:style>
  <w:style w:type="paragraph" w:customStyle="1" w:styleId="26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bottom"/>
    </w:pPr>
    <w:rPr>
      <w:rFonts w:ascii="Arial Unicode MS" w:hAnsi="Arial Unicode MS" w:eastAsia="Arial Unicode MS" w:cs="Arial Unicode MS"/>
      <w:kern w:val="0"/>
      <w:sz w:val="20"/>
      <w:szCs w:val="20"/>
    </w:rPr>
  </w:style>
  <w:style w:type="paragraph" w:customStyle="1" w:styleId="263">
    <w:name w:val="表头"/>
    <w:qFormat/>
    <w:uiPriority w:val="0"/>
    <w:pPr>
      <w:widowControl w:val="0"/>
      <w:autoSpaceDE w:val="0"/>
      <w:autoSpaceDN w:val="0"/>
      <w:adjustRightInd w:val="0"/>
      <w:jc w:val="center"/>
    </w:pPr>
    <w:rPr>
      <w:rFonts w:ascii="文鼎CS中黑" w:hAnsi="Calibri" w:eastAsia="文鼎CS中黑" w:cs="Times New Roman"/>
      <w:sz w:val="22"/>
      <w:szCs w:val="22"/>
      <w:lang w:val="en-US" w:eastAsia="zh-CN" w:bidi="ar-SA"/>
    </w:rPr>
  </w:style>
  <w:style w:type="paragraph" w:customStyle="1" w:styleId="264">
    <w:name w:val="二级标题"/>
    <w:qFormat/>
    <w:uiPriority w:val="0"/>
    <w:pPr>
      <w:widowControl w:val="0"/>
      <w:autoSpaceDE w:val="0"/>
      <w:autoSpaceDN w:val="0"/>
      <w:adjustRightInd w:val="0"/>
      <w:spacing w:before="113" w:after="113" w:line="420" w:lineRule="atLeast"/>
      <w:jc w:val="both"/>
    </w:pPr>
    <w:rPr>
      <w:rFonts w:ascii="文鼎CS大隶书" w:hAnsi="Calibri" w:eastAsia="文鼎CS大隶书" w:cs="Times New Roman"/>
      <w:sz w:val="28"/>
      <w:szCs w:val="28"/>
      <w:lang w:val="en-US" w:eastAsia="zh-CN" w:bidi="ar-SA"/>
    </w:rPr>
  </w:style>
  <w:style w:type="paragraph" w:customStyle="1" w:styleId="265">
    <w:name w:val="font6"/>
    <w:basedOn w:val="1"/>
    <w:qFormat/>
    <w:uiPriority w:val="0"/>
    <w:pPr>
      <w:widowControl/>
      <w:spacing w:before="100" w:beforeAutospacing="1" w:after="100" w:afterAutospacing="1"/>
      <w:jc w:val="left"/>
    </w:pPr>
    <w:rPr>
      <w:rFonts w:hint="eastAsia" w:ascii="黑体" w:hAnsi="Arial Unicode MS" w:eastAsia="黑体" w:cs="Arial Unicode MS"/>
      <w:kern w:val="0"/>
      <w:sz w:val="24"/>
    </w:rPr>
  </w:style>
  <w:style w:type="paragraph" w:customStyle="1" w:styleId="266">
    <w:name w:val="小标题1"/>
    <w:basedOn w:val="255"/>
    <w:qFormat/>
    <w:uiPriority w:val="0"/>
    <w:pPr>
      <w:ind w:left="556" w:hanging="556"/>
      <w:jc w:val="both"/>
    </w:pPr>
    <w:rPr>
      <w:rFonts w:ascii="文鼎CS楷体" w:eastAsia="文鼎CS楷体"/>
      <w:sz w:val="26"/>
      <w:szCs w:val="26"/>
    </w:rPr>
  </w:style>
  <w:style w:type="paragraph" w:customStyle="1" w:styleId="267">
    <w:name w:val="节名"/>
    <w:qFormat/>
    <w:uiPriority w:val="0"/>
    <w:pPr>
      <w:widowControl w:val="0"/>
      <w:autoSpaceDE w:val="0"/>
      <w:autoSpaceDN w:val="0"/>
      <w:adjustRightInd w:val="0"/>
      <w:spacing w:line="940" w:lineRule="atLeast"/>
      <w:jc w:val="center"/>
    </w:pPr>
    <w:rPr>
      <w:rFonts w:ascii="文鼎CS楷体" w:hAnsi="Calibri" w:eastAsia="文鼎CS楷体" w:cs="Times New Roman"/>
      <w:b/>
      <w:bCs/>
      <w:color w:val="000000"/>
      <w:sz w:val="44"/>
      <w:szCs w:val="44"/>
      <w:lang w:val="en-US" w:eastAsia="zh-CN" w:bidi="ar-SA"/>
    </w:rPr>
  </w:style>
  <w:style w:type="paragraph" w:customStyle="1" w:styleId="268">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69">
    <w:name w:val="abo_p"/>
    <w:basedOn w:val="1"/>
    <w:qFormat/>
    <w:uiPriority w:val="0"/>
    <w:pPr>
      <w:widowControl/>
      <w:spacing w:line="375" w:lineRule="atLeast"/>
      <w:jc w:val="left"/>
    </w:pPr>
    <w:rPr>
      <w:rFonts w:ascii="宋体" w:hAnsi="宋体" w:cs="宋体"/>
      <w:color w:val="333333"/>
      <w:kern w:val="0"/>
      <w:szCs w:val="21"/>
    </w:rPr>
  </w:style>
  <w:style w:type="paragraph" w:customStyle="1" w:styleId="270">
    <w:name w:val="font8"/>
    <w:basedOn w:val="1"/>
    <w:qFormat/>
    <w:uiPriority w:val="0"/>
    <w:pPr>
      <w:widowControl/>
      <w:spacing w:before="100" w:beforeAutospacing="1" w:after="100" w:afterAutospacing="1"/>
      <w:jc w:val="left"/>
    </w:pPr>
    <w:rPr>
      <w:rFonts w:ascii="Calibri" w:hAnsi="Calibri" w:eastAsia="Arial Unicode MS"/>
      <w:kern w:val="0"/>
      <w:sz w:val="24"/>
    </w:rPr>
  </w:style>
  <w:style w:type="paragraph" w:customStyle="1" w:styleId="271">
    <w:name w:val="Char Char Char"/>
    <w:basedOn w:val="1"/>
    <w:qFormat/>
    <w:uiPriority w:val="0"/>
    <w:pPr>
      <w:spacing w:line="360" w:lineRule="auto"/>
      <w:ind w:firstLine="560" w:firstLineChars="200"/>
    </w:pPr>
    <w:rPr>
      <w:rFonts w:ascii="Calibri" w:hAnsi="Calibri"/>
      <w:szCs w:val="20"/>
    </w:rPr>
  </w:style>
  <w:style w:type="paragraph" w:customStyle="1" w:styleId="27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color w:val="000000"/>
      <w:kern w:val="0"/>
      <w:sz w:val="20"/>
      <w:szCs w:val="20"/>
    </w:rPr>
  </w:style>
  <w:style w:type="paragraph" w:customStyle="1" w:styleId="273">
    <w:name w:val="xl82"/>
    <w:basedOn w:val="1"/>
    <w:qFormat/>
    <w:uiPriority w:val="0"/>
    <w:pPr>
      <w:widowControl/>
      <w:pBdr>
        <w:top w:val="single" w:color="auto" w:sz="4" w:space="0"/>
        <w:left w:val="single" w:color="auto" w:sz="8" w:space="0"/>
        <w:bottom w:val="single" w:color="auto" w:sz="4" w:space="0"/>
      </w:pBdr>
      <w:shd w:val="clear" w:color="auto" w:fill="CCFFCC"/>
      <w:spacing w:before="100" w:beforeAutospacing="1" w:after="100" w:afterAutospacing="1"/>
      <w:jc w:val="right"/>
      <w:textAlignment w:val="bottom"/>
    </w:pPr>
    <w:rPr>
      <w:rFonts w:ascii="Arial Unicode MS" w:hAnsi="Arial Unicode MS" w:eastAsia="Arial Unicode MS" w:cs="Arial Unicode MS"/>
      <w:kern w:val="0"/>
      <w:sz w:val="20"/>
      <w:szCs w:val="20"/>
    </w:rPr>
  </w:style>
  <w:style w:type="paragraph" w:customStyle="1" w:styleId="274">
    <w:name w:val="样式3"/>
    <w:basedOn w:val="1"/>
    <w:qFormat/>
    <w:uiPriority w:val="0"/>
    <w:pPr>
      <w:numPr>
        <w:ilvl w:val="2"/>
        <w:numId w:val="1"/>
      </w:numPr>
      <w:tabs>
        <w:tab w:val="left" w:pos="1080"/>
      </w:tabs>
      <w:spacing w:before="160" w:after="160" w:line="360" w:lineRule="auto"/>
    </w:pPr>
    <w:rPr>
      <w:rFonts w:ascii="Calibri" w:hAnsi="Calibri"/>
      <w:b/>
      <w:sz w:val="30"/>
      <w:szCs w:val="20"/>
    </w:rPr>
  </w:style>
  <w:style w:type="paragraph" w:customStyle="1" w:styleId="275">
    <w:name w:val="xl61"/>
    <w:basedOn w:val="1"/>
    <w:qFormat/>
    <w:uiPriority w:val="0"/>
    <w:pPr>
      <w:widowControl/>
      <w:pBdr>
        <w:top w:val="single" w:color="auto" w:sz="4" w:space="0"/>
        <w:bottom w:val="single" w:color="auto" w:sz="4" w:space="0"/>
        <w:right w:val="single" w:color="auto" w:sz="8" w:space="0"/>
      </w:pBdr>
      <w:spacing w:before="100" w:beforeAutospacing="1" w:after="100" w:afterAutospacing="1"/>
      <w:jc w:val="center"/>
      <w:textAlignment w:val="bottom"/>
    </w:pPr>
    <w:rPr>
      <w:rFonts w:hint="eastAsia" w:ascii="黑体" w:hAnsi="Arial Unicode MS" w:eastAsia="黑体" w:cs="Arial Unicode MS"/>
      <w:b/>
      <w:bCs/>
      <w:color w:val="333399"/>
      <w:kern w:val="0"/>
      <w:sz w:val="24"/>
    </w:rPr>
  </w:style>
  <w:style w:type="paragraph" w:customStyle="1" w:styleId="276">
    <w:name w:val="标题5"/>
    <w:basedOn w:val="5"/>
    <w:qFormat/>
    <w:uiPriority w:val="0"/>
    <w:pPr>
      <w:spacing w:before="156" w:after="156" w:line="180" w:lineRule="atLeast"/>
    </w:pPr>
    <w:rPr>
      <w:rFonts w:ascii="Times New Roman" w:hAnsi="Times New Roman" w:eastAsia="宋体"/>
      <w:b w:val="0"/>
      <w:bCs w:val="0"/>
      <w:sz w:val="24"/>
      <w:szCs w:val="20"/>
    </w:rPr>
  </w:style>
  <w:style w:type="paragraph" w:customStyle="1" w:styleId="27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8">
    <w:name w:val="规范"/>
    <w:basedOn w:val="1"/>
    <w:next w:val="1"/>
    <w:qFormat/>
    <w:uiPriority w:val="0"/>
    <w:pPr>
      <w:numPr>
        <w:ilvl w:val="0"/>
        <w:numId w:val="6"/>
      </w:numPr>
      <w:tabs>
        <w:tab w:val="left" w:pos="420"/>
        <w:tab w:val="left" w:pos="720"/>
      </w:tabs>
      <w:spacing w:line="288" w:lineRule="auto"/>
      <w:ind w:left="420" w:hanging="420"/>
      <w:jc w:val="left"/>
    </w:pPr>
    <w:rPr>
      <w:rFonts w:ascii="Calibri" w:hAnsi="Calibri"/>
      <w:sz w:val="24"/>
    </w:rPr>
  </w:style>
  <w:style w:type="paragraph" w:customStyle="1" w:styleId="279">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80">
    <w:name w:val="2册标题3"/>
    <w:basedOn w:val="1"/>
    <w:next w:val="1"/>
    <w:qFormat/>
    <w:uiPriority w:val="0"/>
    <w:pPr>
      <w:spacing w:beforeLines="50" w:afterLines="50" w:line="300" w:lineRule="auto"/>
      <w:ind w:left="210" w:leftChars="100"/>
      <w:jc w:val="center"/>
      <w:outlineLvl w:val="2"/>
    </w:pPr>
    <w:rPr>
      <w:rFonts w:ascii="宋体" w:hAnsi="宋体" w:cs="Arial"/>
      <w:b/>
      <w:bCs/>
      <w:sz w:val="30"/>
      <w:szCs w:val="28"/>
    </w:rPr>
  </w:style>
  <w:style w:type="paragraph" w:customStyle="1" w:styleId="281">
    <w:name w:val="font9"/>
    <w:basedOn w:val="1"/>
    <w:qFormat/>
    <w:uiPriority w:val="0"/>
    <w:pPr>
      <w:widowControl/>
      <w:spacing w:before="100" w:beforeAutospacing="1" w:after="100" w:afterAutospacing="1"/>
      <w:jc w:val="left"/>
    </w:pPr>
    <w:rPr>
      <w:rFonts w:hint="eastAsia" w:ascii="黑体" w:hAnsi="Arial Unicode MS" w:eastAsia="黑体" w:cs="Arial Unicode MS"/>
      <w:b/>
      <w:bCs/>
      <w:color w:val="333399"/>
      <w:kern w:val="0"/>
      <w:sz w:val="24"/>
    </w:rPr>
  </w:style>
  <w:style w:type="paragraph" w:customStyle="1" w:styleId="282">
    <w:name w:val="xl8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top"/>
    </w:pPr>
    <w:rPr>
      <w:rFonts w:ascii="Arial Unicode MS" w:hAnsi="Arial Unicode MS" w:eastAsia="Arial Unicode MS" w:cs="Arial Unicode MS"/>
      <w:kern w:val="0"/>
      <w:sz w:val="20"/>
      <w:szCs w:val="20"/>
    </w:rPr>
  </w:style>
  <w:style w:type="paragraph" w:customStyle="1" w:styleId="283">
    <w:name w:val="Char5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4">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right"/>
      <w:textAlignment w:val="bottom"/>
    </w:pPr>
    <w:rPr>
      <w:rFonts w:ascii="Arial Unicode MS" w:hAnsi="Arial Unicode MS" w:eastAsia="Arial Unicode MS" w:cs="Arial Unicode MS"/>
      <w:kern w:val="0"/>
      <w:sz w:val="20"/>
      <w:szCs w:val="20"/>
    </w:rPr>
  </w:style>
  <w:style w:type="paragraph" w:customStyle="1" w:styleId="285">
    <w:name w:val="xl52"/>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pPr>
    <w:rPr>
      <w:rFonts w:ascii="Arial Unicode MS" w:hAnsi="Arial Unicode MS" w:eastAsia="Arial Unicode MS" w:cs="Arial Unicode MS"/>
      <w:kern w:val="0"/>
      <w:sz w:val="24"/>
    </w:rPr>
  </w:style>
  <w:style w:type="paragraph" w:customStyle="1" w:styleId="286">
    <w:name w:val="_Style 1"/>
    <w:basedOn w:val="1"/>
    <w:qFormat/>
    <w:uiPriority w:val="34"/>
    <w:pPr>
      <w:ind w:firstLine="420" w:firstLineChars="200"/>
    </w:pPr>
    <w:rPr>
      <w:rFonts w:ascii="Calibri" w:hAnsi="Calibri"/>
    </w:rPr>
  </w:style>
  <w:style w:type="paragraph" w:customStyle="1" w:styleId="287">
    <w:name w:val="样式 宋体 小四 行距: 1.5 倍行距"/>
    <w:basedOn w:val="5"/>
    <w:qFormat/>
    <w:uiPriority w:val="0"/>
    <w:pPr>
      <w:spacing w:afterLines="25" w:line="360" w:lineRule="auto"/>
    </w:pPr>
    <w:rPr>
      <w:rFonts w:ascii="宋体" w:hAnsi="宋体" w:eastAsia="宋体"/>
      <w:b w:val="0"/>
      <w:sz w:val="24"/>
      <w:szCs w:val="20"/>
    </w:rPr>
  </w:style>
  <w:style w:type="paragraph" w:customStyle="1" w:styleId="288">
    <w:name w:val="xl74"/>
    <w:basedOn w:val="1"/>
    <w:qFormat/>
    <w:uiPriority w:val="0"/>
    <w:pPr>
      <w:widowControl/>
      <w:pBdr>
        <w:top w:val="single" w:color="auto" w:sz="4" w:space="0"/>
        <w:left w:val="single" w:color="auto" w:sz="8" w:space="0"/>
        <w:bottom w:val="single" w:color="auto" w:sz="4" w:space="0"/>
      </w:pBdr>
      <w:shd w:val="clear" w:color="auto" w:fill="CCFFFF"/>
      <w:spacing w:before="100" w:beforeAutospacing="1" w:after="100" w:afterAutospacing="1"/>
      <w:jc w:val="right"/>
      <w:textAlignment w:val="bottom"/>
    </w:pPr>
    <w:rPr>
      <w:rFonts w:ascii="Arial Unicode MS" w:hAnsi="Arial Unicode MS" w:eastAsia="Arial Unicode MS" w:cs="Arial Unicode MS"/>
      <w:kern w:val="0"/>
      <w:sz w:val="20"/>
      <w:szCs w:val="20"/>
    </w:rPr>
  </w:style>
  <w:style w:type="paragraph" w:customStyle="1" w:styleId="289">
    <w:name w:val="1节名"/>
    <w:qFormat/>
    <w:uiPriority w:val="0"/>
    <w:pPr>
      <w:widowControl w:val="0"/>
      <w:autoSpaceDE w:val="0"/>
      <w:autoSpaceDN w:val="0"/>
      <w:adjustRightInd w:val="0"/>
      <w:spacing w:line="940" w:lineRule="atLeast"/>
      <w:jc w:val="center"/>
    </w:pPr>
    <w:rPr>
      <w:rFonts w:ascii="文鼎CS楷体" w:hAnsi="Calibri" w:eastAsia="文鼎CS楷体" w:cs="Times New Roman"/>
      <w:b/>
      <w:bCs/>
      <w:color w:val="000000"/>
      <w:sz w:val="44"/>
      <w:szCs w:val="44"/>
      <w:lang w:val="en-US" w:eastAsia="zh-CN" w:bidi="ar-SA"/>
    </w:rPr>
  </w:style>
  <w:style w:type="paragraph" w:customStyle="1" w:styleId="290">
    <w:name w:val="电子编码"/>
    <w:basedOn w:val="1"/>
    <w:qFormat/>
    <w:uiPriority w:val="0"/>
    <w:pPr>
      <w:autoSpaceDE w:val="0"/>
      <w:autoSpaceDN w:val="0"/>
      <w:adjustRightInd w:val="0"/>
      <w:spacing w:before="170" w:after="170" w:line="360" w:lineRule="auto"/>
    </w:pPr>
    <w:rPr>
      <w:rFonts w:ascii="幼圆" w:hAnsi="Calibri" w:eastAsia="幼圆"/>
      <w:b/>
      <w:bCs/>
      <w:color w:val="000000"/>
      <w:kern w:val="0"/>
      <w:sz w:val="22"/>
      <w:szCs w:val="20"/>
    </w:rPr>
  </w:style>
  <w:style w:type="paragraph" w:customStyle="1" w:styleId="291">
    <w:name w:val="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2">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293">
    <w:name w:val="xl3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top"/>
    </w:pPr>
    <w:rPr>
      <w:rFonts w:ascii="Arial" w:hAnsi="Arial" w:eastAsia="Arial Unicode MS" w:cs="Arial"/>
      <w:kern w:val="0"/>
      <w:sz w:val="20"/>
      <w:szCs w:val="20"/>
    </w:rPr>
  </w:style>
  <w:style w:type="paragraph" w:customStyle="1" w:styleId="294">
    <w:name w:val="List Bulleted Item 2"/>
    <w:basedOn w:val="1"/>
    <w:qFormat/>
    <w:uiPriority w:val="0"/>
    <w:pPr>
      <w:widowControl/>
      <w:tabs>
        <w:tab w:val="left" w:pos="1410"/>
      </w:tabs>
      <w:spacing w:before="40" w:after="80" w:line="240" w:lineRule="exact"/>
      <w:ind w:left="1410" w:hanging="420"/>
      <w:jc w:val="left"/>
    </w:pPr>
    <w:rPr>
      <w:rFonts w:ascii="Arial" w:hAnsi="Arial"/>
      <w:kern w:val="0"/>
      <w:sz w:val="20"/>
      <w:szCs w:val="20"/>
      <w:lang w:eastAsia="en-US"/>
    </w:rPr>
  </w:style>
  <w:style w:type="paragraph" w:customStyle="1" w:styleId="295">
    <w:name w:val="xl75"/>
    <w:basedOn w:val="1"/>
    <w:qFormat/>
    <w:uiPriority w:val="0"/>
    <w:pPr>
      <w:widowControl/>
      <w:pBdr>
        <w:top w:val="single" w:color="auto" w:sz="4" w:space="0"/>
        <w:bottom w:val="single" w:color="auto" w:sz="4" w:space="0"/>
      </w:pBdr>
      <w:shd w:val="clear" w:color="auto" w:fill="CCFFFF"/>
      <w:spacing w:before="100" w:beforeAutospacing="1" w:after="100" w:afterAutospacing="1"/>
      <w:jc w:val="right"/>
      <w:textAlignment w:val="bottom"/>
    </w:pPr>
    <w:rPr>
      <w:rFonts w:ascii="Arial Unicode MS" w:hAnsi="Arial Unicode MS" w:eastAsia="Arial Unicode MS" w:cs="Arial Unicode MS"/>
      <w:kern w:val="0"/>
      <w:sz w:val="20"/>
      <w:szCs w:val="20"/>
    </w:rPr>
  </w:style>
  <w:style w:type="paragraph" w:customStyle="1" w:styleId="29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eastAsia="Arial Unicode MS" w:cs="Arial"/>
      <w:kern w:val="0"/>
      <w:sz w:val="20"/>
      <w:szCs w:val="20"/>
    </w:rPr>
  </w:style>
  <w:style w:type="paragraph" w:customStyle="1" w:styleId="297">
    <w:name w:val="xl55"/>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left"/>
    </w:pPr>
    <w:rPr>
      <w:rFonts w:ascii="Arial Unicode MS" w:hAnsi="Arial Unicode MS" w:eastAsia="Arial Unicode MS" w:cs="Arial Unicode MS"/>
      <w:kern w:val="0"/>
      <w:sz w:val="24"/>
    </w:rPr>
  </w:style>
  <w:style w:type="paragraph" w:customStyle="1" w:styleId="298">
    <w:name w:val="正文BIAO"/>
    <w:basedOn w:val="1"/>
    <w:qFormat/>
    <w:uiPriority w:val="0"/>
    <w:pPr>
      <w:tabs>
        <w:tab w:val="left" w:pos="360"/>
        <w:tab w:val="left" w:pos="720"/>
      </w:tabs>
      <w:spacing w:beforeLines="50" w:afterLines="50" w:line="360" w:lineRule="auto"/>
      <w:ind w:left="420" w:hanging="420"/>
    </w:pPr>
    <w:rPr>
      <w:rFonts w:ascii="Calibri" w:hAnsi="Calibri" w:eastAsia="黑体"/>
      <w:sz w:val="24"/>
    </w:rPr>
  </w:style>
  <w:style w:type="paragraph" w:customStyle="1" w:styleId="299">
    <w:name w:val="1册标题3"/>
    <w:basedOn w:val="1"/>
    <w:next w:val="1"/>
    <w:qFormat/>
    <w:uiPriority w:val="0"/>
    <w:pPr>
      <w:keepNext/>
      <w:keepLines/>
      <w:adjustRightInd w:val="0"/>
      <w:spacing w:beforeLines="50" w:afterLines="50" w:line="300" w:lineRule="auto"/>
      <w:textAlignment w:val="baseline"/>
      <w:outlineLvl w:val="2"/>
    </w:pPr>
    <w:rPr>
      <w:rFonts w:ascii="Arial" w:hAnsi="Arial" w:eastAsia="黑体"/>
      <w:kern w:val="0"/>
      <w:sz w:val="30"/>
      <w:szCs w:val="20"/>
    </w:rPr>
  </w:style>
  <w:style w:type="paragraph" w:customStyle="1" w:styleId="300">
    <w:name w:val="xl78"/>
    <w:basedOn w:val="1"/>
    <w:qFormat/>
    <w:uiPriority w:val="0"/>
    <w:pPr>
      <w:widowControl/>
      <w:pBdr>
        <w:top w:val="single" w:color="auto" w:sz="4" w:space="0"/>
        <w:bottom w:val="single" w:color="auto" w:sz="4" w:space="0"/>
      </w:pBdr>
      <w:shd w:val="clear" w:color="auto" w:fill="CCFFCC"/>
      <w:spacing w:before="100" w:beforeAutospacing="1" w:after="100" w:afterAutospacing="1"/>
      <w:textAlignment w:val="top"/>
    </w:pPr>
    <w:rPr>
      <w:rFonts w:ascii="Arial" w:hAnsi="Arial" w:eastAsia="Arial Unicode MS" w:cs="Arial"/>
      <w:kern w:val="0"/>
      <w:sz w:val="20"/>
      <w:szCs w:val="20"/>
    </w:rPr>
  </w:style>
  <w:style w:type="paragraph" w:customStyle="1" w:styleId="301">
    <w:name w:val="样式41"/>
    <w:basedOn w:val="1"/>
    <w:qFormat/>
    <w:uiPriority w:val="0"/>
    <w:pPr>
      <w:tabs>
        <w:tab w:val="left" w:pos="945"/>
      </w:tabs>
      <w:spacing w:line="360" w:lineRule="auto"/>
      <w:ind w:left="900" w:hanging="420"/>
    </w:pPr>
    <w:rPr>
      <w:rFonts w:ascii="Calibri" w:hAnsi="Calibri"/>
      <w:b/>
      <w:color w:val="000000"/>
      <w:sz w:val="24"/>
      <w:szCs w:val="20"/>
    </w:rPr>
  </w:style>
  <w:style w:type="paragraph" w:customStyle="1" w:styleId="302">
    <w:name w:val="xl59"/>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right"/>
      <w:textAlignment w:val="bottom"/>
    </w:pPr>
    <w:rPr>
      <w:rFonts w:ascii="Arial Unicode MS" w:hAnsi="Arial Unicode MS" w:eastAsia="Arial Unicode MS" w:cs="Arial Unicode MS"/>
      <w:kern w:val="0"/>
      <w:sz w:val="20"/>
      <w:szCs w:val="20"/>
    </w:rPr>
  </w:style>
  <w:style w:type="paragraph" w:customStyle="1" w:styleId="303">
    <w:name w:val="样式4"/>
    <w:basedOn w:val="1"/>
    <w:qFormat/>
    <w:uiPriority w:val="0"/>
    <w:pPr>
      <w:numPr>
        <w:ilvl w:val="3"/>
        <w:numId w:val="2"/>
      </w:numPr>
      <w:tabs>
        <w:tab w:val="left" w:pos="757"/>
      </w:tabs>
      <w:spacing w:before="120" w:after="120" w:line="360" w:lineRule="auto"/>
      <w:ind w:firstLine="397"/>
    </w:pPr>
    <w:rPr>
      <w:rFonts w:ascii="Calibri" w:hAnsi="Calibri"/>
      <w:b/>
      <w:sz w:val="28"/>
      <w:szCs w:val="20"/>
    </w:rPr>
  </w:style>
  <w:style w:type="paragraph" w:customStyle="1" w:styleId="304">
    <w:name w:val="xl62"/>
    <w:basedOn w:val="1"/>
    <w:qFormat/>
    <w:uiPriority w:val="0"/>
    <w:pPr>
      <w:widowControl/>
      <w:pBdr>
        <w:top w:val="single" w:color="auto" w:sz="4" w:space="0"/>
        <w:left w:val="single" w:color="auto" w:sz="8" w:space="0"/>
        <w:bottom w:val="single" w:color="auto" w:sz="4" w:space="0"/>
      </w:pBdr>
      <w:spacing w:before="100" w:beforeAutospacing="1" w:after="100" w:afterAutospacing="1"/>
      <w:jc w:val="center"/>
      <w:textAlignment w:val="bottom"/>
    </w:pPr>
    <w:rPr>
      <w:rFonts w:ascii="Calibri" w:hAnsi="Calibri" w:eastAsia="Arial Unicode MS"/>
      <w:b/>
      <w:bCs/>
      <w:color w:val="333399"/>
      <w:kern w:val="0"/>
      <w:sz w:val="24"/>
    </w:rPr>
  </w:style>
  <w:style w:type="paragraph" w:customStyle="1" w:styleId="305">
    <w:name w:val="xl51"/>
    <w:basedOn w:val="1"/>
    <w:qFormat/>
    <w:uiPriority w:val="0"/>
    <w:pPr>
      <w:widowControl/>
      <w:pBdr>
        <w:top w:val="single" w:color="auto" w:sz="8" w:space="0"/>
        <w:left w:val="single" w:color="auto" w:sz="4" w:space="0"/>
        <w:bottom w:val="single" w:color="auto" w:sz="4" w:space="0"/>
        <w:right w:val="single" w:color="auto" w:sz="8" w:space="0"/>
      </w:pBdr>
      <w:shd w:val="clear" w:color="auto" w:fill="99CCFF"/>
      <w:spacing w:before="100" w:beforeAutospacing="1" w:after="100" w:afterAutospacing="1"/>
      <w:jc w:val="center"/>
    </w:pPr>
    <w:rPr>
      <w:rFonts w:hint="eastAsia" w:ascii="黑体" w:hAnsi="Arial Unicode MS" w:eastAsia="黑体" w:cs="Arial Unicode MS"/>
      <w:kern w:val="0"/>
      <w:sz w:val="24"/>
    </w:rPr>
  </w:style>
  <w:style w:type="paragraph" w:customStyle="1" w:styleId="306">
    <w:name w:val="2册标题1"/>
    <w:basedOn w:val="1"/>
    <w:next w:val="1"/>
    <w:qFormat/>
    <w:uiPriority w:val="0"/>
    <w:pPr>
      <w:spacing w:beforeLines="50" w:afterLines="50" w:line="300" w:lineRule="auto"/>
      <w:jc w:val="center"/>
      <w:outlineLvl w:val="0"/>
    </w:pPr>
    <w:rPr>
      <w:rFonts w:ascii="Arial" w:hAnsi="Arial" w:eastAsia="黑体"/>
      <w:sz w:val="32"/>
      <w:szCs w:val="32"/>
    </w:rPr>
  </w:style>
  <w:style w:type="paragraph" w:customStyle="1" w:styleId="307">
    <w:name w:val="自定义正文"/>
    <w:basedOn w:val="1"/>
    <w:qFormat/>
    <w:uiPriority w:val="0"/>
    <w:pPr>
      <w:spacing w:afterLines="50"/>
      <w:ind w:left="600" w:leftChars="600"/>
    </w:pPr>
    <w:rPr>
      <w:rFonts w:ascii="Calibri" w:hAnsi="Calibri"/>
    </w:rPr>
  </w:style>
  <w:style w:type="paragraph" w:customStyle="1" w:styleId="30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Arial" w:hAnsi="Arial" w:eastAsia="Arial Unicode MS" w:cs="Arial"/>
      <w:kern w:val="0"/>
      <w:sz w:val="20"/>
      <w:szCs w:val="20"/>
    </w:rPr>
  </w:style>
  <w:style w:type="paragraph" w:customStyle="1" w:styleId="309">
    <w:name w:val="图表标题"/>
    <w:basedOn w:val="1"/>
    <w:qFormat/>
    <w:uiPriority w:val="0"/>
    <w:pPr>
      <w:autoSpaceDE w:val="0"/>
      <w:autoSpaceDN w:val="0"/>
      <w:adjustRightInd w:val="0"/>
      <w:snapToGrid w:val="0"/>
      <w:spacing w:before="80" w:after="40" w:line="288" w:lineRule="auto"/>
      <w:jc w:val="center"/>
    </w:pPr>
    <w:rPr>
      <w:rFonts w:ascii="Calibri" w:hAnsi="Calibri"/>
      <w:spacing w:val="10"/>
      <w:kern w:val="0"/>
      <w:sz w:val="24"/>
      <w:szCs w:val="20"/>
    </w:rPr>
  </w:style>
  <w:style w:type="paragraph" w:customStyle="1" w:styleId="31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Calibri" w:hAnsi="Calibri" w:eastAsia="Arial Unicode MS"/>
      <w:kern w:val="0"/>
      <w:sz w:val="20"/>
      <w:szCs w:val="20"/>
    </w:rPr>
  </w:style>
  <w:style w:type="paragraph" w:customStyle="1" w:styleId="311">
    <w:name w:val="一般正文"/>
    <w:basedOn w:val="1"/>
    <w:qFormat/>
    <w:uiPriority w:val="0"/>
    <w:pPr>
      <w:spacing w:before="120" w:after="120" w:line="0" w:lineRule="atLeast"/>
    </w:pPr>
    <w:rPr>
      <w:rFonts w:ascii="Calibri" w:hAnsi="Calibri"/>
      <w:sz w:val="28"/>
      <w:szCs w:val="20"/>
    </w:rPr>
  </w:style>
  <w:style w:type="paragraph" w:customStyle="1" w:styleId="312">
    <w:name w:val="列出段落3"/>
    <w:basedOn w:val="1"/>
    <w:qFormat/>
    <w:uiPriority w:val="34"/>
    <w:pPr>
      <w:ind w:firstLine="420" w:firstLineChars="200"/>
    </w:pPr>
    <w:rPr>
      <w:rFonts w:ascii="Calibri" w:hAnsi="Calibri"/>
    </w:rPr>
  </w:style>
  <w:style w:type="paragraph" w:customStyle="1" w:styleId="313">
    <w:name w:val="xl77"/>
    <w:basedOn w:val="1"/>
    <w:qFormat/>
    <w:uiPriority w:val="0"/>
    <w:pPr>
      <w:widowControl/>
      <w:pBdr>
        <w:top w:val="single" w:color="auto" w:sz="4" w:space="0"/>
        <w:bottom w:val="single" w:color="auto" w:sz="4" w:space="0"/>
      </w:pBdr>
      <w:shd w:val="clear" w:color="auto" w:fill="CCFFCC"/>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314">
    <w:name w:val="xl66"/>
    <w:basedOn w:val="1"/>
    <w:qFormat/>
    <w:uiPriority w:val="0"/>
    <w:pPr>
      <w:widowControl/>
      <w:pBdr>
        <w:top w:val="single" w:color="auto" w:sz="4" w:space="0"/>
        <w:left w:val="single" w:color="auto" w:sz="8" w:space="0"/>
        <w:bottom w:val="single" w:color="auto" w:sz="4" w:space="0"/>
      </w:pBdr>
      <w:spacing w:before="100" w:beforeAutospacing="1" w:after="100" w:afterAutospacing="1"/>
      <w:jc w:val="center"/>
      <w:textAlignment w:val="bottom"/>
    </w:pPr>
    <w:rPr>
      <w:rFonts w:hint="eastAsia" w:ascii="黑体" w:hAnsi="Arial Unicode MS" w:eastAsia="黑体" w:cs="Arial Unicode MS"/>
      <w:color w:val="000080"/>
      <w:kern w:val="0"/>
      <w:sz w:val="24"/>
    </w:rPr>
  </w:style>
  <w:style w:type="paragraph" w:customStyle="1" w:styleId="315">
    <w:name w:val="修订1"/>
    <w:unhideWhenUsed/>
    <w:qFormat/>
    <w:uiPriority w:val="99"/>
    <w:rPr>
      <w:rFonts w:ascii="Calibri" w:hAnsi="Calibri" w:eastAsia="宋体" w:cs="Times New Roman"/>
      <w:kern w:val="2"/>
      <w:sz w:val="21"/>
      <w:szCs w:val="22"/>
      <w:lang w:val="en-US" w:eastAsia="zh-CN" w:bidi="ar-SA"/>
    </w:rPr>
  </w:style>
  <w:style w:type="paragraph" w:customStyle="1" w:styleId="316">
    <w:name w:val="xl63"/>
    <w:basedOn w:val="1"/>
    <w:qFormat/>
    <w:uiPriority w:val="0"/>
    <w:pPr>
      <w:widowControl/>
      <w:pBdr>
        <w:top w:val="single" w:color="auto" w:sz="4" w:space="0"/>
        <w:bottom w:val="single" w:color="auto" w:sz="4" w:space="0"/>
      </w:pBdr>
      <w:spacing w:before="100" w:beforeAutospacing="1" w:after="100" w:afterAutospacing="1"/>
      <w:jc w:val="center"/>
      <w:textAlignment w:val="bottom"/>
    </w:pPr>
    <w:rPr>
      <w:rFonts w:ascii="Calibri" w:hAnsi="Calibri" w:eastAsia="Arial Unicode MS"/>
      <w:b/>
      <w:bCs/>
      <w:color w:val="333399"/>
      <w:kern w:val="0"/>
      <w:sz w:val="24"/>
    </w:rPr>
  </w:style>
  <w:style w:type="paragraph" w:customStyle="1" w:styleId="317">
    <w:name w:val="正文（不缩进）"/>
    <w:basedOn w:val="1"/>
    <w:qFormat/>
    <w:uiPriority w:val="0"/>
    <w:pPr>
      <w:tabs>
        <w:tab w:val="left" w:pos="420"/>
      </w:tabs>
      <w:spacing w:line="360" w:lineRule="auto"/>
    </w:pPr>
    <w:rPr>
      <w:rFonts w:ascii="Calibri" w:hAnsi="Calibri"/>
      <w:sz w:val="24"/>
      <w:szCs w:val="20"/>
    </w:rPr>
  </w:style>
  <w:style w:type="paragraph" w:customStyle="1" w:styleId="31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bottom"/>
    </w:pPr>
    <w:rPr>
      <w:rFonts w:ascii="Arial Unicode MS" w:hAnsi="Arial Unicode MS" w:eastAsia="Arial Unicode MS" w:cs="Arial Unicode MS"/>
      <w:kern w:val="0"/>
      <w:sz w:val="20"/>
      <w:szCs w:val="20"/>
    </w:rPr>
  </w:style>
  <w:style w:type="paragraph" w:customStyle="1" w:styleId="319">
    <w:name w:val="修订2"/>
    <w:unhideWhenUsed/>
    <w:qFormat/>
    <w:uiPriority w:val="99"/>
    <w:rPr>
      <w:rFonts w:ascii="Calibri" w:hAnsi="Calibri" w:eastAsia="宋体" w:cs="Times New Roman"/>
      <w:kern w:val="2"/>
      <w:sz w:val="21"/>
      <w:szCs w:val="24"/>
      <w:lang w:val="en-US" w:eastAsia="zh-CN" w:bidi="ar-SA"/>
    </w:rPr>
  </w:style>
  <w:style w:type="character" w:customStyle="1" w:styleId="320">
    <w:name w:val="Char Char Char Char Char Char1"/>
    <w:link w:val="321"/>
    <w:qFormat/>
    <w:uiPriority w:val="0"/>
    <w:rPr>
      <w:rFonts w:ascii="Verdana" w:hAnsi="Verdana" w:eastAsia="仿宋_GB2312"/>
      <w:sz w:val="24"/>
      <w:lang w:eastAsia="en-US"/>
    </w:rPr>
  </w:style>
  <w:style w:type="paragraph" w:customStyle="1" w:styleId="321">
    <w:name w:val="Char Char Char Char3"/>
    <w:basedOn w:val="1"/>
    <w:link w:val="320"/>
    <w:qFormat/>
    <w:uiPriority w:val="0"/>
    <w:pPr>
      <w:widowControl/>
      <w:spacing w:after="160" w:line="240" w:lineRule="exact"/>
      <w:jc w:val="left"/>
    </w:pPr>
    <w:rPr>
      <w:rFonts w:ascii="Verdana" w:hAnsi="Verdana" w:eastAsia="仿宋_GB2312" w:cstheme="minorBidi"/>
      <w:sz w:val="24"/>
      <w:szCs w:val="22"/>
      <w:lang w:eastAsia="en-US"/>
    </w:rPr>
  </w:style>
  <w:style w:type="paragraph" w:customStyle="1" w:styleId="322">
    <w:name w:val="Char Char1"/>
    <w:basedOn w:val="1"/>
    <w:qFormat/>
    <w:uiPriority w:val="0"/>
    <w:rPr>
      <w:rFonts w:ascii="Tahoma" w:hAnsi="Tahoma"/>
      <w:sz w:val="24"/>
      <w:szCs w:val="20"/>
    </w:rPr>
  </w:style>
  <w:style w:type="paragraph" w:customStyle="1" w:styleId="323">
    <w:name w:val="Char5 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24">
    <w:name w:val="Char Char Char Char Char1"/>
    <w:basedOn w:val="1"/>
    <w:qFormat/>
    <w:uiPriority w:val="0"/>
    <w:rPr>
      <w:rFonts w:ascii="Tahoma" w:hAnsi="Tahoma"/>
      <w:sz w:val="24"/>
      <w:szCs w:val="20"/>
    </w:rPr>
  </w:style>
  <w:style w:type="paragraph" w:customStyle="1" w:styleId="325">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hAnsi="Calibri"/>
      <w:sz w:val="24"/>
    </w:rPr>
  </w:style>
  <w:style w:type="paragraph" w:customStyle="1" w:styleId="326">
    <w:name w:val="Char1 Char Char Char Char Char Char1"/>
    <w:basedOn w:val="1"/>
    <w:qFormat/>
    <w:uiPriority w:val="0"/>
    <w:pPr>
      <w:widowControl/>
      <w:spacing w:after="160" w:line="240" w:lineRule="exact"/>
      <w:jc w:val="left"/>
    </w:pPr>
    <w:rPr>
      <w:rFonts w:ascii="Calibri" w:hAnsi="Calibri"/>
      <w:szCs w:val="20"/>
    </w:rPr>
  </w:style>
  <w:style w:type="paragraph" w:customStyle="1" w:styleId="327">
    <w:name w:val="日期2"/>
    <w:basedOn w:val="1"/>
    <w:next w:val="1"/>
    <w:qFormat/>
    <w:uiPriority w:val="0"/>
    <w:pPr>
      <w:adjustRightInd w:val="0"/>
      <w:spacing w:line="360" w:lineRule="auto"/>
      <w:textAlignment w:val="baseline"/>
    </w:pPr>
    <w:rPr>
      <w:rFonts w:ascii="宋体" w:hAnsi="Calibri"/>
      <w:spacing w:val="2"/>
      <w:sz w:val="24"/>
      <w:szCs w:val="20"/>
    </w:rPr>
  </w:style>
  <w:style w:type="paragraph" w:customStyle="1" w:styleId="328">
    <w:name w:val="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29">
    <w:name w:val="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0">
    <w:name w:val="列出段落5"/>
    <w:basedOn w:val="1"/>
    <w:qFormat/>
    <w:uiPriority w:val="34"/>
    <w:pPr>
      <w:ind w:firstLine="420" w:firstLineChars="200"/>
    </w:pPr>
    <w:rPr>
      <w:rFonts w:ascii="Calibri" w:hAnsi="Calibri"/>
    </w:rPr>
  </w:style>
  <w:style w:type="paragraph" w:customStyle="1" w:styleId="331">
    <w:name w:val="纯文本1"/>
    <w:basedOn w:val="1"/>
    <w:qFormat/>
    <w:uiPriority w:val="0"/>
    <w:pPr>
      <w:adjustRightInd w:val="0"/>
      <w:textAlignment w:val="baseline"/>
    </w:pPr>
    <w:rPr>
      <w:rFonts w:ascii="宋体" w:hAnsi="Courier New" w:eastAsia="楷体_GB2312"/>
      <w:sz w:val="26"/>
      <w:szCs w:val="22"/>
    </w:rPr>
  </w:style>
  <w:style w:type="paragraph" w:customStyle="1" w:styleId="332">
    <w:name w:val="正文文字缩进 2"/>
    <w:basedOn w:val="1"/>
    <w:qFormat/>
    <w:uiPriority w:val="0"/>
    <w:pPr>
      <w:widowControl/>
      <w:spacing w:line="351" w:lineRule="atLeast"/>
      <w:ind w:firstLine="481"/>
      <w:textAlignment w:val="baseline"/>
    </w:pPr>
    <w:rPr>
      <w:rFonts w:ascii="仿宋_GB2312" w:eastAsia="仿宋_GB2312"/>
      <w:color w:val="000000"/>
      <w:kern w:val="0"/>
      <w:sz w:val="24"/>
      <w:u w:color="000000"/>
    </w:rPr>
  </w:style>
  <w:style w:type="paragraph" w:customStyle="1" w:styleId="333">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33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43</Pages>
  <Words>7486</Words>
  <Characters>7748</Characters>
  <Lines>178</Lines>
  <Paragraphs>50</Paragraphs>
  <TotalTime>22</TotalTime>
  <ScaleCrop>false</ScaleCrop>
  <LinksUpToDate>false</LinksUpToDate>
  <CharactersWithSpaces>8053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2023-02-08T01:49:00Z</dcterms:created>
  <dc:creator>Microsoft</dc:creator>
  <cp:lastModifiedBy>zh</cp:lastModifiedBy>
  <cp:lastPrinted>2023-04-28T11:23:00Z</cp:lastPrinted>
  <dcterms:modified xsi:type="dcterms:W3CDTF">2026-05-22T12:28:06Z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2F27499A516F42238FB21E474ED3DAA4</vt:lpwstr>
  </property>
  <property fmtid="{D5CDD505-2E9C-101B-9397-08002B2CF9AE}" pid="4" name="KSOTemplateDocerSaveRecord">
    <vt:lpwstr>eyJoZGlkIjoiMDhmOWVmODUyNjMzMjcyNDIyNjBkY2QwNjUyMDliMDEiLCJ1c2VySWQiOiIyNjMzODYyNjAifQ==</vt:lpwstr>
  </property>
</Properties>
</file>